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2FA70" w14:textId="77777777" w:rsidR="003D1D90" w:rsidRPr="006B693F" w:rsidRDefault="003D1D90" w:rsidP="003D1D90">
      <w:pPr>
        <w:pStyle w:val="Heading1"/>
      </w:pPr>
      <w:r w:rsidRPr="006B693F">
        <w:t>Increases to Micro-Purchase Threshold (MPT) and Simplified Acquisition Threshold (SAT)</w:t>
      </w:r>
    </w:p>
    <w:p w14:paraId="20E6ACBB" w14:textId="77777777" w:rsidR="003D1D90" w:rsidRDefault="003D1D90" w:rsidP="003D1D90">
      <w:pPr>
        <w:spacing w:line="240" w:lineRule="auto"/>
        <w:rPr>
          <w:rFonts w:cs="Arial"/>
          <w:szCs w:val="24"/>
        </w:rPr>
      </w:pPr>
    </w:p>
    <w:p w14:paraId="708A330C" w14:textId="313D8A12" w:rsidR="003D1D90" w:rsidRPr="006B693F" w:rsidRDefault="003D1D90" w:rsidP="003D1D90">
      <w:pPr>
        <w:spacing w:line="240" w:lineRule="auto"/>
        <w:rPr>
          <w:rFonts w:cs="Arial"/>
          <w:szCs w:val="24"/>
        </w:rPr>
      </w:pPr>
      <w:r w:rsidRPr="006B693F">
        <w:rPr>
          <w:rFonts w:cs="Arial"/>
          <w:szCs w:val="24"/>
        </w:rPr>
        <w:t>Effective July 9, 2018, in accordance with 2018 National Defense Authorization Act (NDAA) and HHS Class Deviation memorandum dated May 7, 2018, NIH recognized the new Simplified Acquisition Threshold (SAT) of $250,000 and the new Micro-Purchase Threshold (MPT) of $10,000.</w:t>
      </w:r>
    </w:p>
    <w:p w14:paraId="00D53F2F" w14:textId="77777777" w:rsidR="003D1D90" w:rsidRPr="006B693F" w:rsidRDefault="003D1D90" w:rsidP="003D1D90">
      <w:pPr>
        <w:spacing w:line="240" w:lineRule="auto"/>
        <w:rPr>
          <w:rFonts w:cs="Arial"/>
          <w:szCs w:val="24"/>
        </w:rPr>
      </w:pPr>
    </w:p>
    <w:p w14:paraId="0FE5B03D" w14:textId="5633988E" w:rsidR="003D1D90" w:rsidRPr="006B693F" w:rsidRDefault="003D1D90" w:rsidP="003D1D90">
      <w:pPr>
        <w:spacing w:line="240" w:lineRule="auto"/>
        <w:rPr>
          <w:rFonts w:eastAsia="Times New Roman" w:cs="Arial"/>
          <w:szCs w:val="24"/>
        </w:rPr>
      </w:pPr>
      <w:r w:rsidRPr="006B693F">
        <w:rPr>
          <w:rFonts w:eastAsia="Times New Roman" w:cs="Arial"/>
          <w:szCs w:val="24"/>
        </w:rPr>
        <w:t>MPT means</w:t>
      </w:r>
      <w:r w:rsidRPr="006B693F">
        <w:rPr>
          <w:rFonts w:eastAsia="Times New Roman" w:cs="Arial"/>
          <w:color w:val="000000"/>
          <w:szCs w:val="24"/>
        </w:rPr>
        <w:t xml:space="preserve"> </w:t>
      </w:r>
      <w:r w:rsidRPr="006B693F">
        <w:rPr>
          <w:rFonts w:eastAsia="Times New Roman" w:cs="Arial"/>
          <w:szCs w:val="24"/>
        </w:rPr>
        <w:t>$10,000, except it means $2,500 for acquisitions of services subject to </w:t>
      </w:r>
      <w:hyperlink r:id="rId8" w:anchor="wp1112481" w:history="1">
        <w:r w:rsidRPr="006B693F">
          <w:rPr>
            <w:rStyle w:val="Hyperlink"/>
            <w:rFonts w:eastAsia="Times New Roman" w:cs="Arial"/>
            <w:szCs w:val="24"/>
          </w:rPr>
          <w:t>Service Contract Labor Standards Act</w:t>
        </w:r>
      </w:hyperlink>
      <w:r w:rsidRPr="006B693F">
        <w:rPr>
          <w:rFonts w:eastAsia="Times New Roman" w:cs="Arial"/>
          <w:szCs w:val="24"/>
        </w:rPr>
        <w:t xml:space="preserve"> and $2,000 for </w:t>
      </w:r>
      <w:hyperlink r:id="rId9" w:anchor="wp1101814" w:history="1">
        <w:r w:rsidRPr="006B693F">
          <w:rPr>
            <w:rStyle w:val="Hyperlink"/>
            <w:rFonts w:eastAsia="Times New Roman" w:cs="Arial"/>
            <w:szCs w:val="24"/>
          </w:rPr>
          <w:t>Wage Rate Requirements (Construction) Act</w:t>
        </w:r>
      </w:hyperlink>
      <w:r w:rsidRPr="006B693F">
        <w:rPr>
          <w:rStyle w:val="Hyperlink"/>
          <w:rFonts w:eastAsia="Times New Roman" w:cs="Arial"/>
          <w:szCs w:val="24"/>
        </w:rPr>
        <w:t xml:space="preserve"> acquisitions.</w:t>
      </w:r>
    </w:p>
    <w:p w14:paraId="79A6D68B" w14:textId="77777777" w:rsidR="003D1D90" w:rsidRPr="006B693F" w:rsidRDefault="003D1D90" w:rsidP="003D1D90">
      <w:pPr>
        <w:spacing w:line="240" w:lineRule="auto"/>
        <w:rPr>
          <w:rFonts w:cs="Arial"/>
          <w:szCs w:val="24"/>
        </w:rPr>
      </w:pPr>
    </w:p>
    <w:p w14:paraId="573D2F5B" w14:textId="32BFE427" w:rsidR="003D1D90" w:rsidRPr="006B693F" w:rsidRDefault="003D1D90" w:rsidP="00771A27">
      <w:pPr>
        <w:spacing w:after="120" w:line="240" w:lineRule="auto"/>
        <w:rPr>
          <w:rFonts w:cs="Arial"/>
          <w:szCs w:val="24"/>
        </w:rPr>
      </w:pPr>
      <w:r w:rsidRPr="006B693F">
        <w:rPr>
          <w:rFonts w:cs="Arial"/>
          <w:szCs w:val="24"/>
        </w:rPr>
        <w:t xml:space="preserve">The following statutes, regulations, and policies are applicable to every purchase, including those at or below the MPT </w:t>
      </w:r>
      <w:hyperlink r:id="rId10" w:history="1">
        <w:r w:rsidRPr="006B693F">
          <w:rPr>
            <w:rStyle w:val="Hyperlink"/>
            <w:rFonts w:cs="Arial"/>
            <w:szCs w:val="24"/>
          </w:rPr>
          <w:t>Subpart 13.2</w:t>
        </w:r>
      </w:hyperlink>
      <w:r w:rsidRPr="006B693F">
        <w:rPr>
          <w:rStyle w:val="Hyperlink"/>
          <w:rFonts w:cs="Arial"/>
          <w:szCs w:val="24"/>
        </w:rPr>
        <w:t>.</w:t>
      </w:r>
    </w:p>
    <w:p w14:paraId="614EA028" w14:textId="77777777" w:rsidR="003D1D90" w:rsidRPr="006B693F" w:rsidRDefault="003D1D90" w:rsidP="00771A27">
      <w:pPr>
        <w:pStyle w:val="ListParagraph"/>
        <w:numPr>
          <w:ilvl w:val="0"/>
          <w:numId w:val="40"/>
        </w:numPr>
        <w:spacing w:before="0"/>
        <w:rPr>
          <w:rFonts w:cs="Arial"/>
        </w:rPr>
      </w:pPr>
      <w:r w:rsidRPr="006B693F">
        <w:rPr>
          <w:rFonts w:cs="Arial"/>
        </w:rPr>
        <w:t>A procurement valued at or below the MPT (except TO/DOs against multiple award IDVs) may be conducted without competition;</w:t>
      </w:r>
    </w:p>
    <w:p w14:paraId="2063002A" w14:textId="77777777" w:rsidR="003D1D90" w:rsidRPr="006B693F" w:rsidRDefault="003D1D90" w:rsidP="00771A27">
      <w:pPr>
        <w:numPr>
          <w:ilvl w:val="0"/>
          <w:numId w:val="40"/>
        </w:numPr>
        <w:spacing w:after="120" w:line="240" w:lineRule="auto"/>
        <w:rPr>
          <w:rFonts w:cs="Arial"/>
          <w:szCs w:val="24"/>
        </w:rPr>
      </w:pPr>
      <w:r w:rsidRPr="006B693F">
        <w:rPr>
          <w:rFonts w:cs="Arial"/>
          <w:szCs w:val="24"/>
        </w:rPr>
        <w:t>After consideration of required and priority sources (</w:t>
      </w:r>
      <w:hyperlink r:id="rId11" w:anchor="wp1088781" w:history="1">
        <w:r w:rsidRPr="006B693F">
          <w:rPr>
            <w:rStyle w:val="Hyperlink"/>
            <w:rFonts w:cs="Arial"/>
            <w:szCs w:val="24"/>
          </w:rPr>
          <w:t>Subpart 13.201</w:t>
        </w:r>
      </w:hyperlink>
      <w:r w:rsidRPr="006B693F">
        <w:rPr>
          <w:rFonts w:cs="Arial"/>
          <w:szCs w:val="24"/>
        </w:rPr>
        <w:t xml:space="preserve">(e) and </w:t>
      </w:r>
      <w:hyperlink r:id="rId12" w:anchor="wp226853" w:history="1">
        <w:r w:rsidRPr="006B693F">
          <w:rPr>
            <w:rStyle w:val="Hyperlink"/>
            <w:rFonts w:cs="Arial"/>
            <w:szCs w:val="24"/>
          </w:rPr>
          <w:t>Part 8</w:t>
        </w:r>
      </w:hyperlink>
      <w:r w:rsidRPr="006B693F">
        <w:rPr>
          <w:rFonts w:cs="Arial"/>
          <w:szCs w:val="24"/>
        </w:rPr>
        <w:t>) and including category management, Best in Class designations, Smarter Buying initiatives (</w:t>
      </w:r>
      <w:hyperlink r:id="rId13" w:history="1">
        <w:r w:rsidRPr="006B693F">
          <w:rPr>
            <w:rStyle w:val="Hyperlink"/>
            <w:rFonts w:cs="Arial"/>
            <w:szCs w:val="24"/>
          </w:rPr>
          <w:t>HHSAR 312.1</w:t>
        </w:r>
      </w:hyperlink>
      <w:r w:rsidRPr="006B693F">
        <w:rPr>
          <w:rFonts w:cs="Arial"/>
          <w:szCs w:val="24"/>
        </w:rPr>
        <w:t>) and use of other pre-negotiated instruments (</w:t>
      </w:r>
      <w:hyperlink r:id="rId14" w:anchor="wp1098052" w:history="1">
        <w:r w:rsidRPr="006B693F">
          <w:rPr>
            <w:rStyle w:val="Hyperlink"/>
            <w:rFonts w:cs="Arial"/>
            <w:szCs w:val="24"/>
          </w:rPr>
          <w:t>Subpart 7.102</w:t>
        </w:r>
      </w:hyperlink>
      <w:r w:rsidRPr="006B693F">
        <w:rPr>
          <w:rFonts w:cs="Arial"/>
          <w:szCs w:val="24"/>
        </w:rPr>
        <w:t xml:space="preserve"> (a) (4));</w:t>
      </w:r>
    </w:p>
    <w:p w14:paraId="110A18BD" w14:textId="77777777" w:rsidR="003D1D90" w:rsidRPr="006B693F" w:rsidRDefault="003D1D90" w:rsidP="00771A27">
      <w:pPr>
        <w:numPr>
          <w:ilvl w:val="0"/>
          <w:numId w:val="40"/>
        </w:numPr>
        <w:spacing w:after="120" w:line="240" w:lineRule="auto"/>
        <w:rPr>
          <w:rFonts w:cs="Arial"/>
          <w:szCs w:val="24"/>
        </w:rPr>
      </w:pPr>
      <w:r w:rsidRPr="006B693F">
        <w:rPr>
          <w:rFonts w:cs="Arial"/>
          <w:szCs w:val="24"/>
        </w:rPr>
        <w:t>After consideration of environmentally sustainable acquisitions (</w:t>
      </w:r>
      <w:hyperlink r:id="rId15" w:anchor="wp1088781" w:history="1">
        <w:r w:rsidRPr="006B693F">
          <w:rPr>
            <w:rStyle w:val="Hyperlink"/>
            <w:rFonts w:cs="Arial"/>
            <w:szCs w:val="24"/>
          </w:rPr>
          <w:t>Subpart 13.201</w:t>
        </w:r>
      </w:hyperlink>
      <w:r w:rsidRPr="006B693F">
        <w:rPr>
          <w:rFonts w:cs="Arial"/>
          <w:szCs w:val="24"/>
        </w:rPr>
        <w:t xml:space="preserve">(f) and </w:t>
      </w:r>
      <w:hyperlink r:id="rId16" w:anchor="wp1072043" w:history="1">
        <w:r w:rsidRPr="006B693F">
          <w:rPr>
            <w:rStyle w:val="Hyperlink"/>
            <w:rFonts w:cs="Arial"/>
            <w:szCs w:val="24"/>
          </w:rPr>
          <w:t>23.1</w:t>
        </w:r>
      </w:hyperlink>
      <w:r w:rsidRPr="006B693F">
        <w:rPr>
          <w:rFonts w:cs="Arial"/>
          <w:szCs w:val="24"/>
        </w:rPr>
        <w:t>, </w:t>
      </w:r>
      <w:hyperlink r:id="rId17" w:anchor="wp1080563" w:history="1">
        <w:r w:rsidRPr="006B693F">
          <w:rPr>
            <w:rStyle w:val="Hyperlink"/>
            <w:rFonts w:cs="Arial"/>
            <w:szCs w:val="24"/>
          </w:rPr>
          <w:t>23.2</w:t>
        </w:r>
      </w:hyperlink>
      <w:r w:rsidRPr="006B693F">
        <w:rPr>
          <w:rFonts w:cs="Arial"/>
          <w:szCs w:val="24"/>
        </w:rPr>
        <w:t>, </w:t>
      </w:r>
      <w:hyperlink r:id="rId18" w:anchor="wp1086857" w:history="1">
        <w:r w:rsidRPr="006B693F">
          <w:rPr>
            <w:rStyle w:val="Hyperlink"/>
            <w:rFonts w:cs="Arial"/>
            <w:szCs w:val="24"/>
          </w:rPr>
          <w:t>23.4</w:t>
        </w:r>
      </w:hyperlink>
      <w:r w:rsidRPr="006B693F">
        <w:rPr>
          <w:rFonts w:cs="Arial"/>
          <w:szCs w:val="24"/>
        </w:rPr>
        <w:t>, and </w:t>
      </w:r>
      <w:hyperlink r:id="rId19" w:anchor="wp1086546" w:history="1">
        <w:r w:rsidRPr="006B693F">
          <w:rPr>
            <w:rStyle w:val="Hyperlink"/>
            <w:rFonts w:cs="Arial"/>
            <w:szCs w:val="24"/>
          </w:rPr>
          <w:t>23.7</w:t>
        </w:r>
      </w:hyperlink>
      <w:r w:rsidRPr="006B693F">
        <w:rPr>
          <w:rFonts w:cs="Arial"/>
          <w:szCs w:val="24"/>
        </w:rPr>
        <w:t>);</w:t>
      </w:r>
    </w:p>
    <w:p w14:paraId="4B63B718" w14:textId="77777777" w:rsidR="003D1D90" w:rsidRPr="006B693F" w:rsidRDefault="003D1D90" w:rsidP="00771A27">
      <w:pPr>
        <w:numPr>
          <w:ilvl w:val="0"/>
          <w:numId w:val="40"/>
        </w:numPr>
        <w:spacing w:after="120" w:line="240" w:lineRule="auto"/>
        <w:rPr>
          <w:rFonts w:cs="Arial"/>
          <w:szCs w:val="24"/>
        </w:rPr>
      </w:pPr>
      <w:r w:rsidRPr="006B693F">
        <w:rPr>
          <w:rFonts w:cs="Arial"/>
          <w:szCs w:val="24"/>
        </w:rPr>
        <w:t>After determination of a fair and reasonable price (</w:t>
      </w:r>
      <w:hyperlink r:id="rId20" w:anchor="wp1125503" w:history="1">
        <w:r w:rsidRPr="006B693F">
          <w:rPr>
            <w:rStyle w:val="Hyperlink"/>
            <w:rFonts w:cs="Arial"/>
            <w:szCs w:val="24"/>
          </w:rPr>
          <w:t>Subpart 13.106-3</w:t>
        </w:r>
      </w:hyperlink>
      <w:r w:rsidRPr="006B693F">
        <w:rPr>
          <w:rFonts w:cs="Arial"/>
          <w:szCs w:val="24"/>
        </w:rPr>
        <w:t xml:space="preserve"> and </w:t>
      </w:r>
      <w:hyperlink r:id="rId21" w:anchor="wp1089427" w:history="1">
        <w:r w:rsidRPr="006B693F">
          <w:rPr>
            <w:rStyle w:val="Hyperlink"/>
            <w:rFonts w:cs="Arial"/>
            <w:szCs w:val="24"/>
          </w:rPr>
          <w:t>13.203</w:t>
        </w:r>
      </w:hyperlink>
      <w:r w:rsidRPr="006B693F">
        <w:rPr>
          <w:rFonts w:cs="Arial"/>
          <w:szCs w:val="24"/>
        </w:rPr>
        <w:t xml:space="preserve"> (a)(2)).</w:t>
      </w:r>
    </w:p>
    <w:p w14:paraId="4B73E28B" w14:textId="77777777" w:rsidR="003D1D90" w:rsidRPr="006B693F" w:rsidRDefault="003D1D90" w:rsidP="003D1D90">
      <w:pPr>
        <w:spacing w:line="240" w:lineRule="auto"/>
        <w:ind w:left="360"/>
        <w:rPr>
          <w:rFonts w:cs="Arial"/>
          <w:szCs w:val="24"/>
        </w:rPr>
      </w:pPr>
    </w:p>
    <w:p w14:paraId="37C6CBA2" w14:textId="77777777" w:rsidR="003D1D90" w:rsidRPr="006B693F" w:rsidRDefault="003D1D90" w:rsidP="003D1D90">
      <w:pPr>
        <w:spacing w:line="240" w:lineRule="auto"/>
        <w:rPr>
          <w:rFonts w:cs="Arial"/>
          <w:szCs w:val="24"/>
          <w:lang w:val="en"/>
        </w:rPr>
      </w:pPr>
      <w:r w:rsidRPr="006B693F">
        <w:rPr>
          <w:rFonts w:cs="Arial"/>
          <w:szCs w:val="24"/>
        </w:rPr>
        <w:t xml:space="preserve">Also, </w:t>
      </w:r>
      <w:proofErr w:type="spellStart"/>
      <w:r w:rsidRPr="006B693F">
        <w:rPr>
          <w:rFonts w:cs="Arial"/>
          <w:szCs w:val="24"/>
        </w:rPr>
        <w:t>t</w:t>
      </w:r>
      <w:r w:rsidRPr="006B693F">
        <w:rPr>
          <w:rFonts w:cs="Arial"/>
          <w:szCs w:val="24"/>
          <w:lang w:val="en"/>
        </w:rPr>
        <w:t>o</w:t>
      </w:r>
      <w:proofErr w:type="spellEnd"/>
      <w:r w:rsidRPr="006B693F">
        <w:rPr>
          <w:rFonts w:cs="Arial"/>
          <w:szCs w:val="24"/>
          <w:lang w:val="en"/>
        </w:rPr>
        <w:t xml:space="preserve"> the maximum extent practicable, micro-purchases shall be distributed equitably among qualified suppliers (</w:t>
      </w:r>
      <w:hyperlink r:id="rId22" w:anchor="wp1089427" w:history="1">
        <w:r w:rsidRPr="006B693F">
          <w:rPr>
            <w:rStyle w:val="Hyperlink"/>
            <w:rFonts w:cs="Arial"/>
            <w:szCs w:val="24"/>
            <w:lang w:val="en"/>
          </w:rPr>
          <w:t>Subpart 13.203(1)</w:t>
        </w:r>
      </w:hyperlink>
      <w:r w:rsidRPr="006B693F">
        <w:rPr>
          <w:rFonts w:cs="Arial"/>
          <w:szCs w:val="24"/>
          <w:lang w:val="en"/>
        </w:rPr>
        <w:t>).</w:t>
      </w:r>
    </w:p>
    <w:p w14:paraId="607ED739" w14:textId="77777777" w:rsidR="003D1D90" w:rsidRPr="006B693F" w:rsidRDefault="003D1D90" w:rsidP="003D1D90">
      <w:pPr>
        <w:spacing w:line="240" w:lineRule="auto"/>
        <w:rPr>
          <w:rFonts w:cs="Arial"/>
          <w:szCs w:val="24"/>
          <w:lang w:val="en"/>
        </w:rPr>
      </w:pPr>
    </w:p>
    <w:p w14:paraId="7D138995" w14:textId="77777777" w:rsidR="003D1D90" w:rsidRPr="006B693F" w:rsidRDefault="003D1D90" w:rsidP="003D1D90">
      <w:pPr>
        <w:spacing w:line="240" w:lineRule="auto"/>
        <w:rPr>
          <w:rFonts w:cs="Arial"/>
          <w:szCs w:val="24"/>
          <w:u w:val="single"/>
          <w:lang w:val="en"/>
        </w:rPr>
      </w:pPr>
      <w:r w:rsidRPr="006B693F">
        <w:rPr>
          <w:rFonts w:cs="Arial"/>
          <w:szCs w:val="24"/>
          <w:u w:val="single"/>
          <w:lang w:val="en"/>
        </w:rPr>
        <w:t>Delivery Orders (DO) and Task Orders (TO) Against Multiple Award – Indefinite Delivery Vehicles</w:t>
      </w:r>
    </w:p>
    <w:p w14:paraId="71921E33" w14:textId="6430EBA6" w:rsidR="003D1D90" w:rsidRPr="006B693F" w:rsidRDefault="003D1D90" w:rsidP="003D1D90">
      <w:pPr>
        <w:spacing w:line="240" w:lineRule="auto"/>
        <w:rPr>
          <w:rFonts w:cs="Arial"/>
          <w:szCs w:val="24"/>
        </w:rPr>
      </w:pPr>
      <w:r w:rsidRPr="006B693F">
        <w:rPr>
          <w:rFonts w:cs="Arial"/>
          <w:szCs w:val="24"/>
        </w:rPr>
        <w:t xml:space="preserve">In accordance with FAR </w:t>
      </w:r>
      <w:hyperlink r:id="rId23" w:anchor="wp1095799" w:history="1">
        <w:r w:rsidRPr="006B693F">
          <w:rPr>
            <w:rStyle w:val="Hyperlink"/>
            <w:rFonts w:cs="Arial"/>
            <w:szCs w:val="24"/>
          </w:rPr>
          <w:t>Subpart 16.505</w:t>
        </w:r>
      </w:hyperlink>
      <w:r w:rsidRPr="006B693F">
        <w:rPr>
          <w:rFonts w:cs="Arial"/>
          <w:szCs w:val="24"/>
        </w:rPr>
        <w:t>(b)(1)(</w:t>
      </w:r>
      <w:proofErr w:type="spellStart"/>
      <w:r w:rsidRPr="006B693F">
        <w:rPr>
          <w:rFonts w:cs="Arial"/>
          <w:szCs w:val="24"/>
        </w:rPr>
        <w:t>i</w:t>
      </w:r>
      <w:proofErr w:type="spellEnd"/>
      <w:r w:rsidRPr="006B693F">
        <w:rPr>
          <w:rFonts w:cs="Arial"/>
          <w:szCs w:val="24"/>
        </w:rPr>
        <w:t xml:space="preserve">) the fair opportunity threshold for Indefinite Delivery Contracts remains at $3,500. (Note:  This is </w:t>
      </w:r>
      <w:r w:rsidRPr="006B693F">
        <w:rPr>
          <w:rFonts w:cs="Arial"/>
          <w:szCs w:val="24"/>
          <w:u w:val="single"/>
        </w:rPr>
        <w:t>not</w:t>
      </w:r>
      <w:r w:rsidRPr="006B693F">
        <w:rPr>
          <w:rFonts w:cs="Arial"/>
          <w:szCs w:val="24"/>
        </w:rPr>
        <w:t xml:space="preserve"> a reference to the MPT).</w:t>
      </w:r>
    </w:p>
    <w:p w14:paraId="0D9D7B26" w14:textId="77777777" w:rsidR="003D1D90" w:rsidRPr="006B693F" w:rsidRDefault="003D1D90" w:rsidP="003D1D90">
      <w:pPr>
        <w:spacing w:line="240" w:lineRule="auto"/>
        <w:rPr>
          <w:rFonts w:cs="Arial"/>
          <w:szCs w:val="24"/>
        </w:rPr>
      </w:pPr>
    </w:p>
    <w:p w14:paraId="6D8A1494" w14:textId="31B44ACD" w:rsidR="003D1D90" w:rsidRPr="006B693F" w:rsidRDefault="003D1D90" w:rsidP="003D1D90">
      <w:pPr>
        <w:spacing w:line="240" w:lineRule="auto"/>
        <w:rPr>
          <w:rFonts w:cs="Arial"/>
          <w:szCs w:val="24"/>
        </w:rPr>
      </w:pPr>
      <w:r w:rsidRPr="006B693F">
        <w:rPr>
          <w:rFonts w:cs="Arial"/>
          <w:szCs w:val="24"/>
        </w:rPr>
        <w:t>This means that the contracting officer (including purchase card holders) must provide each awardee a fair opportunity to be considered for each order exceeding $3,500 issued under multiple delivery-order contracts or multiple task-order contracts e.g. NITAAC, LTASC, etc.</w:t>
      </w:r>
    </w:p>
    <w:p w14:paraId="65445F4F" w14:textId="77777777" w:rsidR="003D1D90" w:rsidRPr="006B693F" w:rsidRDefault="003D1D90" w:rsidP="003D1D90">
      <w:pPr>
        <w:spacing w:line="240" w:lineRule="auto"/>
        <w:rPr>
          <w:rFonts w:cs="Arial"/>
          <w:szCs w:val="24"/>
        </w:rPr>
      </w:pPr>
    </w:p>
    <w:p w14:paraId="0B09491F" w14:textId="77777777" w:rsidR="003D1D90" w:rsidRPr="006B693F" w:rsidRDefault="003D1D90" w:rsidP="003D1D90">
      <w:pPr>
        <w:spacing w:line="240" w:lineRule="auto"/>
        <w:rPr>
          <w:rFonts w:cs="Arial"/>
          <w:szCs w:val="24"/>
        </w:rPr>
      </w:pPr>
      <w:r w:rsidRPr="006B693F">
        <w:rPr>
          <w:rFonts w:cs="Arial"/>
          <w:szCs w:val="24"/>
        </w:rPr>
        <w:t xml:space="preserve">However,  </w:t>
      </w:r>
      <w:hyperlink r:id="rId24" w:anchor="wp1095799" w:history="1">
        <w:r w:rsidRPr="006B693F">
          <w:rPr>
            <w:rStyle w:val="Hyperlink"/>
            <w:rFonts w:cs="Arial"/>
            <w:szCs w:val="24"/>
          </w:rPr>
          <w:t>FAR 16.505(b)(1)(ii)</w:t>
        </w:r>
      </w:hyperlink>
      <w:r w:rsidRPr="006B693F">
        <w:rPr>
          <w:rFonts w:cs="Arial"/>
          <w:szCs w:val="24"/>
        </w:rPr>
        <w:t xml:space="preserve"> states, in part, “if the order does not exceed the simplified acquisition threshold, the contracting officer need not </w:t>
      </w:r>
      <w:r w:rsidRPr="006B693F">
        <w:rPr>
          <w:rFonts w:cs="Arial"/>
          <w:i/>
          <w:szCs w:val="24"/>
        </w:rPr>
        <w:t>contact</w:t>
      </w:r>
      <w:r w:rsidRPr="006B693F">
        <w:rPr>
          <w:rFonts w:cs="Arial"/>
          <w:szCs w:val="24"/>
        </w:rPr>
        <w:t xml:space="preserve"> each of the multiple awardees under the contract before selecting an order awardee if the contracting officer has information available to ensure that each awardee is provided a fair opportunity to be considered for each order.” </w:t>
      </w:r>
    </w:p>
    <w:p w14:paraId="7E46E18E" w14:textId="77777777" w:rsidR="003D1D90" w:rsidRPr="006B693F" w:rsidRDefault="003D1D90" w:rsidP="003D1D90">
      <w:pPr>
        <w:spacing w:line="240" w:lineRule="auto"/>
        <w:rPr>
          <w:rFonts w:cs="Arial"/>
          <w:szCs w:val="24"/>
        </w:rPr>
      </w:pPr>
    </w:p>
    <w:p w14:paraId="004806BE" w14:textId="3648DBD1" w:rsidR="003D1D90" w:rsidRPr="006B693F" w:rsidRDefault="003D1D90" w:rsidP="003D1D90">
      <w:pPr>
        <w:spacing w:line="240" w:lineRule="auto"/>
        <w:rPr>
          <w:rFonts w:cs="Arial"/>
          <w:szCs w:val="24"/>
        </w:rPr>
      </w:pPr>
      <w:r w:rsidRPr="006B693F">
        <w:rPr>
          <w:rFonts w:cs="Arial"/>
          <w:szCs w:val="24"/>
        </w:rPr>
        <w:t>The award file must be documented with evidence that each contractor has been provided a fair opportunity to be considered.</w:t>
      </w:r>
    </w:p>
    <w:p w14:paraId="663747C4" w14:textId="77777777" w:rsidR="003D1D90" w:rsidRPr="006B693F" w:rsidRDefault="003D1D90" w:rsidP="003D1D90">
      <w:pPr>
        <w:spacing w:line="240" w:lineRule="auto"/>
        <w:rPr>
          <w:rFonts w:cs="Arial"/>
          <w:szCs w:val="24"/>
        </w:rPr>
      </w:pPr>
    </w:p>
    <w:p w14:paraId="71C91281" w14:textId="6A7F9751" w:rsidR="003D1D90" w:rsidRPr="006B693F" w:rsidRDefault="003D1D90" w:rsidP="003D1D90">
      <w:pPr>
        <w:spacing w:line="240" w:lineRule="auto"/>
        <w:rPr>
          <w:rFonts w:eastAsia="Times New Roman" w:cs="Arial"/>
          <w:szCs w:val="24"/>
        </w:rPr>
      </w:pPr>
      <w:r w:rsidRPr="006B693F">
        <w:rPr>
          <w:rFonts w:eastAsia="Times New Roman" w:cs="Arial"/>
          <w:szCs w:val="24"/>
        </w:rPr>
        <w:lastRenderedPageBreak/>
        <w:t xml:space="preserve">The $3,500 competition threshold </w:t>
      </w:r>
      <w:r w:rsidRPr="006B693F">
        <w:rPr>
          <w:rFonts w:eastAsia="Times New Roman" w:cs="Arial"/>
          <w:szCs w:val="24"/>
          <w:u w:val="single"/>
        </w:rPr>
        <w:t>does not</w:t>
      </w:r>
      <w:r w:rsidRPr="006B693F">
        <w:rPr>
          <w:rFonts w:eastAsia="Times New Roman" w:cs="Arial"/>
          <w:szCs w:val="24"/>
        </w:rPr>
        <w:t xml:space="preserve"> apply to </w:t>
      </w:r>
      <w:r w:rsidRPr="006B693F">
        <w:rPr>
          <w:rFonts w:eastAsia="Times New Roman" w:cs="Arial"/>
          <w:szCs w:val="24"/>
          <w:u w:val="single"/>
        </w:rPr>
        <w:t>GSA Federal Supply Schedule Delivery Orders (DO) or Task</w:t>
      </w:r>
      <w:r w:rsidRPr="006B693F">
        <w:rPr>
          <w:rFonts w:eastAsia="Times New Roman" w:cs="Arial"/>
          <w:szCs w:val="24"/>
        </w:rPr>
        <w:t xml:space="preserve"> </w:t>
      </w:r>
      <w:r w:rsidRPr="006B693F">
        <w:rPr>
          <w:rFonts w:eastAsia="Times New Roman" w:cs="Arial"/>
          <w:szCs w:val="24"/>
          <w:u w:val="single"/>
        </w:rPr>
        <w:t>Orders (TO)</w:t>
      </w:r>
      <w:r w:rsidRPr="006B693F">
        <w:rPr>
          <w:rFonts w:eastAsia="Times New Roman" w:cs="Arial"/>
          <w:szCs w:val="24"/>
        </w:rPr>
        <w:t xml:space="preserve"> which are governed by the procedures in </w:t>
      </w:r>
      <w:hyperlink r:id="rId25" w:anchor="wp1089480" w:history="1">
        <w:r w:rsidRPr="006B693F">
          <w:rPr>
            <w:rStyle w:val="Hyperlink"/>
            <w:rFonts w:eastAsia="Times New Roman" w:cs="Arial"/>
            <w:szCs w:val="24"/>
          </w:rPr>
          <w:t>FAR Subpart 8.4</w:t>
        </w:r>
      </w:hyperlink>
      <w:r w:rsidRPr="006B693F">
        <w:rPr>
          <w:rFonts w:eastAsia="Times New Roman" w:cs="Arial"/>
          <w:szCs w:val="24"/>
        </w:rPr>
        <w:t>. FAR Subpart 8.4 makes repeated reference to the Micro-Purchase Threshold, which is now $10,000.</w:t>
      </w:r>
    </w:p>
    <w:p w14:paraId="49D7C118" w14:textId="77777777" w:rsidR="003D1D90" w:rsidRPr="006B693F" w:rsidRDefault="003D1D90" w:rsidP="003D1D90">
      <w:pPr>
        <w:spacing w:line="240" w:lineRule="auto"/>
        <w:rPr>
          <w:rFonts w:cs="Arial"/>
          <w:szCs w:val="24"/>
        </w:rPr>
      </w:pPr>
    </w:p>
    <w:p w14:paraId="751794A6" w14:textId="77777777" w:rsidR="003D1D90" w:rsidRPr="006B693F" w:rsidRDefault="003D1D90" w:rsidP="003D1D90">
      <w:pPr>
        <w:spacing w:line="240" w:lineRule="auto"/>
        <w:rPr>
          <w:rFonts w:cs="Arial"/>
          <w:szCs w:val="24"/>
          <w:u w:val="single"/>
        </w:rPr>
      </w:pPr>
      <w:r w:rsidRPr="006B693F">
        <w:rPr>
          <w:rFonts w:cs="Arial"/>
          <w:szCs w:val="24"/>
          <w:u w:val="single"/>
        </w:rPr>
        <w:t>Written Fair &amp; Reasonable Price Determinations</w:t>
      </w:r>
    </w:p>
    <w:p w14:paraId="24AEA9D4" w14:textId="77777777" w:rsidR="003D1D90" w:rsidRPr="006B693F" w:rsidRDefault="003D1D90" w:rsidP="003D1D90">
      <w:pPr>
        <w:spacing w:line="240" w:lineRule="auto"/>
        <w:rPr>
          <w:rFonts w:cs="Arial"/>
          <w:szCs w:val="24"/>
        </w:rPr>
      </w:pPr>
      <w:r w:rsidRPr="006B693F">
        <w:rPr>
          <w:rFonts w:cs="Arial"/>
          <w:szCs w:val="24"/>
        </w:rPr>
        <w:t xml:space="preserve">All purchases valued over $5,000 and up to the Simplified Acquisition Threshold of $250,000 must be determined fair and reasonable </w:t>
      </w:r>
      <w:r w:rsidRPr="006B693F">
        <w:rPr>
          <w:rFonts w:cs="Arial"/>
          <w:szCs w:val="24"/>
          <w:u w:val="single"/>
        </w:rPr>
        <w:t>in writing</w:t>
      </w:r>
      <w:r w:rsidRPr="006B693F">
        <w:rPr>
          <w:rFonts w:cs="Arial"/>
          <w:szCs w:val="24"/>
        </w:rPr>
        <w:t xml:space="preserve">  in accordance with </w:t>
      </w:r>
      <w:hyperlink r:id="rId26" w:anchor="wp1125503" w:history="1">
        <w:r w:rsidRPr="006B693F">
          <w:rPr>
            <w:rStyle w:val="Hyperlink"/>
            <w:rFonts w:cs="Arial"/>
            <w:szCs w:val="24"/>
          </w:rPr>
          <w:t>FAR Subpart 13.106-3</w:t>
        </w:r>
      </w:hyperlink>
      <w:r w:rsidRPr="006B693F">
        <w:rPr>
          <w:rFonts w:cs="Arial"/>
          <w:szCs w:val="24"/>
        </w:rPr>
        <w:t>(a) and the award file must be documented appropriately.</w:t>
      </w:r>
    </w:p>
    <w:p w14:paraId="5BB5F7DD" w14:textId="77777777" w:rsidR="003D1D90" w:rsidRPr="006B693F" w:rsidRDefault="003D1D90" w:rsidP="003D1D90">
      <w:pPr>
        <w:spacing w:line="240" w:lineRule="auto"/>
        <w:rPr>
          <w:rFonts w:cs="Arial"/>
          <w:szCs w:val="24"/>
        </w:rPr>
      </w:pPr>
    </w:p>
    <w:p w14:paraId="6EF2CEEC" w14:textId="77777777" w:rsidR="003D1D90" w:rsidRPr="006B693F" w:rsidRDefault="003D1D90" w:rsidP="003D1D90">
      <w:pPr>
        <w:spacing w:line="240" w:lineRule="auto"/>
        <w:rPr>
          <w:rFonts w:cs="Arial"/>
          <w:szCs w:val="24"/>
          <w:u w:val="single"/>
        </w:rPr>
      </w:pPr>
      <w:r w:rsidRPr="006B693F">
        <w:rPr>
          <w:rFonts w:cs="Arial"/>
          <w:szCs w:val="24"/>
          <w:u w:val="single"/>
        </w:rPr>
        <w:t>Limitations on Use of the Governmentwide Commercial Purchase Card</w:t>
      </w:r>
    </w:p>
    <w:p w14:paraId="73F91450" w14:textId="77777777" w:rsidR="003D1D90" w:rsidRPr="006B693F" w:rsidRDefault="003D1D90" w:rsidP="003D1D90">
      <w:pPr>
        <w:spacing w:line="240" w:lineRule="auto"/>
        <w:rPr>
          <w:rFonts w:cs="Arial"/>
          <w:szCs w:val="24"/>
        </w:rPr>
      </w:pPr>
      <w:r w:rsidRPr="006B693F">
        <w:rPr>
          <w:rFonts w:cs="Arial"/>
          <w:szCs w:val="24"/>
        </w:rPr>
        <w:t xml:space="preserve">Because of system limitations, the </w:t>
      </w:r>
      <w:bookmarkStart w:id="0" w:name="_Hlk519667642"/>
      <w:r w:rsidRPr="006B693F">
        <w:rPr>
          <w:rFonts w:cs="Arial"/>
          <w:szCs w:val="24"/>
        </w:rPr>
        <w:t xml:space="preserve">purchase card </w:t>
      </w:r>
      <w:r w:rsidRPr="006B693F">
        <w:rPr>
          <w:rFonts w:cs="Arial"/>
          <w:szCs w:val="24"/>
          <w:u w:val="single"/>
        </w:rPr>
        <w:t>sha</w:t>
      </w:r>
      <w:bookmarkEnd w:id="0"/>
      <w:r w:rsidRPr="006B693F">
        <w:rPr>
          <w:rFonts w:cs="Arial"/>
          <w:szCs w:val="24"/>
          <w:u w:val="single"/>
        </w:rPr>
        <w:t>ll not</w:t>
      </w:r>
      <w:r w:rsidRPr="006B693F">
        <w:rPr>
          <w:rFonts w:cs="Arial"/>
          <w:szCs w:val="24"/>
        </w:rPr>
        <w:t xml:space="preserve"> be used for any orders or payments subject to:</w:t>
      </w:r>
    </w:p>
    <w:p w14:paraId="358D4683" w14:textId="1E3E071D" w:rsidR="003D1D90" w:rsidRPr="006B693F" w:rsidRDefault="003D1D90" w:rsidP="003D1D90">
      <w:pPr>
        <w:pStyle w:val="ListParagraph"/>
      </w:pPr>
      <w:r w:rsidRPr="006B693F">
        <w:t xml:space="preserve">the Service Contract Labor Standards Act between $2,500 and $10,000 or; </w:t>
      </w:r>
    </w:p>
    <w:p w14:paraId="07D6D667" w14:textId="7564073C" w:rsidR="003D1D90" w:rsidRPr="006B693F" w:rsidRDefault="003D1D90" w:rsidP="003D1D90">
      <w:pPr>
        <w:pStyle w:val="ListParagraph"/>
      </w:pPr>
      <w:r w:rsidRPr="006B693F">
        <w:t>the Wage Rate Requirements (Construction) Act between $2,000 and $10,000.</w:t>
      </w:r>
    </w:p>
    <w:p w14:paraId="57EBD37B" w14:textId="77777777" w:rsidR="003D1D90" w:rsidRPr="006B693F" w:rsidRDefault="003D1D90" w:rsidP="003D1D90">
      <w:pPr>
        <w:spacing w:line="240" w:lineRule="auto"/>
        <w:rPr>
          <w:rFonts w:cs="Arial"/>
          <w:szCs w:val="24"/>
          <w:u w:val="single"/>
        </w:rPr>
      </w:pPr>
      <w:r w:rsidRPr="006B693F">
        <w:rPr>
          <w:rFonts w:cs="Arial"/>
          <w:szCs w:val="24"/>
        </w:rPr>
        <w:t xml:space="preserve">Such requirements must be procured using a written instrument issued in NBS Prism.  The Contracting Officer is responsible for reporting these awards IAW FAR </w:t>
      </w:r>
      <w:hyperlink r:id="rId27" w:history="1">
        <w:r w:rsidRPr="006B693F">
          <w:rPr>
            <w:rStyle w:val="Hyperlink"/>
            <w:rFonts w:cs="Arial"/>
            <w:szCs w:val="24"/>
          </w:rPr>
          <w:t>Subpart 4.6 - Contract Reporting</w:t>
        </w:r>
      </w:hyperlink>
      <w:r w:rsidRPr="006B693F">
        <w:rPr>
          <w:rFonts w:cs="Arial"/>
          <w:szCs w:val="24"/>
        </w:rPr>
        <w:t xml:space="preserve"> </w:t>
      </w:r>
    </w:p>
    <w:p w14:paraId="0D1CFA04" w14:textId="77777777" w:rsidR="003D1D90" w:rsidRPr="006B693F" w:rsidRDefault="003D1D90" w:rsidP="003D1D90">
      <w:pPr>
        <w:spacing w:line="240" w:lineRule="auto"/>
        <w:rPr>
          <w:rFonts w:cs="Arial"/>
          <w:szCs w:val="24"/>
        </w:rPr>
      </w:pPr>
    </w:p>
    <w:p w14:paraId="2BB0273F" w14:textId="77777777" w:rsidR="003D1D90" w:rsidRPr="006B693F" w:rsidRDefault="003D1D90" w:rsidP="003D1D90">
      <w:pPr>
        <w:spacing w:line="240" w:lineRule="auto"/>
        <w:rPr>
          <w:rFonts w:cs="Arial"/>
          <w:szCs w:val="24"/>
        </w:rPr>
      </w:pPr>
      <w:r w:rsidRPr="006B693F">
        <w:rPr>
          <w:rFonts w:cs="Arial"/>
          <w:szCs w:val="24"/>
        </w:rPr>
        <w:t>Because of system limitations and practical considerations, use of the Purchase Card above the MPT as an ordering and payment mechanism is limited as specified in the 2015 policy “</w:t>
      </w:r>
      <w:hyperlink r:id="rId28" w:history="1">
        <w:r w:rsidRPr="006B693F">
          <w:rPr>
            <w:rStyle w:val="Hyperlink"/>
            <w:rFonts w:cs="Arial"/>
            <w:szCs w:val="24"/>
          </w:rPr>
          <w:t>Use of Purchase Card Over MPT Policy</w:t>
        </w:r>
      </w:hyperlink>
      <w:r w:rsidRPr="006B693F">
        <w:rPr>
          <w:rFonts w:cs="Arial"/>
          <w:szCs w:val="24"/>
        </w:rPr>
        <w:t xml:space="preserve">”.  If a vendor can accept a written instrument (including digital) including a purchase order, delivery order, task order or BPA order, the procurement </w:t>
      </w:r>
      <w:r w:rsidRPr="006B693F">
        <w:rPr>
          <w:rFonts w:cs="Arial"/>
          <w:i/>
          <w:szCs w:val="24"/>
        </w:rPr>
        <w:t>should</w:t>
      </w:r>
      <w:r w:rsidRPr="006B693F">
        <w:rPr>
          <w:rFonts w:cs="Arial"/>
          <w:szCs w:val="24"/>
        </w:rPr>
        <w:t xml:space="preserve"> be issued in writing from NBS Prism and paid through normal Office of Financial Management (OFM) invoicing procedures.</w:t>
      </w:r>
    </w:p>
    <w:p w14:paraId="1FDE73C8" w14:textId="77777777" w:rsidR="003D1D90" w:rsidRPr="006B693F" w:rsidRDefault="003D1D90" w:rsidP="003D1D90">
      <w:pPr>
        <w:spacing w:line="240" w:lineRule="auto"/>
        <w:rPr>
          <w:rFonts w:cs="Arial"/>
          <w:szCs w:val="24"/>
        </w:rPr>
      </w:pPr>
    </w:p>
    <w:p w14:paraId="340C759B" w14:textId="77777777" w:rsidR="003D1D90" w:rsidRPr="006B693F" w:rsidRDefault="003D1D90" w:rsidP="003D1D90">
      <w:pPr>
        <w:spacing w:line="240" w:lineRule="auto"/>
        <w:rPr>
          <w:rFonts w:cs="Arial"/>
          <w:szCs w:val="24"/>
        </w:rPr>
      </w:pPr>
      <w:r w:rsidRPr="006B693F">
        <w:rPr>
          <w:rFonts w:cs="Arial"/>
          <w:szCs w:val="24"/>
        </w:rPr>
        <w:t xml:space="preserve">For purchase card holders who also have authority to issue convenience checks, the new threshold for convenience checks is $5,000 (1/2 of the MPT).  Convenience checks may be issued for not to exceed $5,000 only after receipt of a new delegation of procurement authority letter. </w:t>
      </w:r>
    </w:p>
    <w:p w14:paraId="5D088CC1" w14:textId="77777777" w:rsidR="003D1D90" w:rsidRPr="006B693F" w:rsidRDefault="003D1D90" w:rsidP="003D1D90">
      <w:pPr>
        <w:spacing w:line="240" w:lineRule="auto"/>
        <w:rPr>
          <w:rFonts w:cs="Arial"/>
          <w:szCs w:val="24"/>
        </w:rPr>
      </w:pPr>
    </w:p>
    <w:p w14:paraId="2C0CB2F6" w14:textId="77777777" w:rsidR="003D1D90" w:rsidRPr="006B693F" w:rsidRDefault="003D1D90" w:rsidP="003D1D90">
      <w:pPr>
        <w:spacing w:line="240" w:lineRule="auto"/>
        <w:rPr>
          <w:rFonts w:cs="Arial"/>
          <w:szCs w:val="24"/>
          <w:u w:val="single"/>
        </w:rPr>
      </w:pPr>
      <w:r w:rsidRPr="006B693F">
        <w:rPr>
          <w:rFonts w:cs="Arial"/>
          <w:szCs w:val="24"/>
          <w:u w:val="single"/>
        </w:rPr>
        <w:t>Delegations of Procurement Authority – NBS Prism</w:t>
      </w:r>
    </w:p>
    <w:p w14:paraId="7E3A61F4" w14:textId="77777777" w:rsidR="003D1D90" w:rsidRPr="006B693F" w:rsidRDefault="003D1D90" w:rsidP="003D1D90">
      <w:pPr>
        <w:spacing w:line="240" w:lineRule="auto"/>
        <w:rPr>
          <w:rFonts w:cs="Arial"/>
          <w:szCs w:val="24"/>
        </w:rPr>
      </w:pPr>
      <w:r w:rsidRPr="006B693F">
        <w:rPr>
          <w:rFonts w:cs="Arial"/>
          <w:szCs w:val="24"/>
        </w:rPr>
        <w:t xml:space="preserve">Delegated Acquisition Community members with a current Certificate of Appointment (SF-1402) aka Warrant that states “Micro-Purchase Threshold” or “MPT” may start using the new $10,000 MPT authority </w:t>
      </w:r>
      <w:r w:rsidRPr="006B693F">
        <w:rPr>
          <w:rFonts w:cs="Arial"/>
          <w:szCs w:val="24"/>
          <w:u w:val="single"/>
        </w:rPr>
        <w:t>to issue written awards in NBS Prism</w:t>
      </w:r>
      <w:r w:rsidRPr="006B693F">
        <w:rPr>
          <w:rFonts w:cs="Arial"/>
          <w:szCs w:val="24"/>
        </w:rPr>
        <w:t>.  NBS Prism provisioning was updated effective July 15, 2018.</w:t>
      </w:r>
    </w:p>
    <w:p w14:paraId="20CCBEA2" w14:textId="77777777" w:rsidR="003D1D90" w:rsidRPr="006B693F" w:rsidRDefault="003D1D90" w:rsidP="003D1D90">
      <w:pPr>
        <w:spacing w:line="240" w:lineRule="auto"/>
        <w:rPr>
          <w:rFonts w:cs="Arial"/>
          <w:szCs w:val="24"/>
        </w:rPr>
      </w:pPr>
    </w:p>
    <w:p w14:paraId="69BA2364" w14:textId="77777777" w:rsidR="003D1D90" w:rsidRPr="006B693F" w:rsidRDefault="003D1D90" w:rsidP="003D1D90">
      <w:pPr>
        <w:spacing w:line="240" w:lineRule="auto"/>
        <w:rPr>
          <w:rFonts w:cs="Arial"/>
          <w:szCs w:val="24"/>
          <w:u w:val="single"/>
        </w:rPr>
      </w:pPr>
      <w:r w:rsidRPr="006B693F">
        <w:rPr>
          <w:rFonts w:cs="Arial"/>
          <w:szCs w:val="24"/>
          <w:u w:val="single"/>
        </w:rPr>
        <w:t>Delegations of Procurement Authority – Purchase Card</w:t>
      </w:r>
    </w:p>
    <w:p w14:paraId="24ECABAA" w14:textId="77777777" w:rsidR="003D1D90" w:rsidRPr="006B693F" w:rsidRDefault="003D1D90" w:rsidP="003D1D90">
      <w:pPr>
        <w:spacing w:line="240" w:lineRule="auto"/>
        <w:rPr>
          <w:rFonts w:cs="Arial"/>
          <w:szCs w:val="24"/>
        </w:rPr>
      </w:pPr>
      <w:r w:rsidRPr="006B693F">
        <w:rPr>
          <w:rFonts w:cs="Arial"/>
          <w:szCs w:val="24"/>
        </w:rPr>
        <w:t>Warranted contracting officers who are also purchase card holders may use the new $10,000 MPT with their purchase cards and purchase card holders who are not warranted contracting officers will be eligible for a new $5,000 SPL, if/when, their Executive Officer approves the request and their SPL has been adjusted in issuing bank and NIH systems.  New delegation of procurement authority letters will be forthcoming.</w:t>
      </w:r>
    </w:p>
    <w:p w14:paraId="268267A9" w14:textId="77777777" w:rsidR="003D1D90" w:rsidRPr="006B693F" w:rsidRDefault="003D1D90" w:rsidP="003D1D90">
      <w:pPr>
        <w:spacing w:line="240" w:lineRule="auto"/>
        <w:rPr>
          <w:rFonts w:cs="Arial"/>
          <w:szCs w:val="24"/>
        </w:rPr>
      </w:pPr>
    </w:p>
    <w:p w14:paraId="73CF7C22" w14:textId="77777777" w:rsidR="003D1D90" w:rsidRPr="006B693F" w:rsidRDefault="003D1D90" w:rsidP="003D1D90">
      <w:pPr>
        <w:spacing w:line="240" w:lineRule="auto"/>
        <w:rPr>
          <w:rFonts w:cs="Arial"/>
          <w:szCs w:val="24"/>
          <w:u w:val="single"/>
        </w:rPr>
      </w:pPr>
      <w:r w:rsidRPr="006B693F">
        <w:rPr>
          <w:rFonts w:cs="Arial"/>
          <w:szCs w:val="24"/>
          <w:u w:val="single"/>
        </w:rPr>
        <w:t>Delegations of Procurement Authority Simplified Acquisition Threshold (SAT)</w:t>
      </w:r>
    </w:p>
    <w:p w14:paraId="79DA17F6" w14:textId="77777777" w:rsidR="003D1D90" w:rsidRPr="006B693F" w:rsidRDefault="003D1D90" w:rsidP="003D1D90">
      <w:pPr>
        <w:spacing w:line="240" w:lineRule="auto"/>
        <w:rPr>
          <w:rFonts w:cs="Arial"/>
          <w:szCs w:val="24"/>
        </w:rPr>
      </w:pPr>
      <w:r w:rsidRPr="006B693F">
        <w:rPr>
          <w:rFonts w:cs="Arial"/>
          <w:szCs w:val="24"/>
        </w:rPr>
        <w:t xml:space="preserve">Warranted Contracting Officers who hold a </w:t>
      </w:r>
      <w:bookmarkStart w:id="1" w:name="_Hlk519681029"/>
      <w:r w:rsidRPr="006B693F">
        <w:rPr>
          <w:rFonts w:cs="Arial"/>
          <w:szCs w:val="24"/>
        </w:rPr>
        <w:t>valid and current Federal Acquisition Certification in Contracting (FAC-C) acquisition certification</w:t>
      </w:r>
      <w:bookmarkEnd w:id="1"/>
      <w:r w:rsidRPr="006B693F">
        <w:rPr>
          <w:rFonts w:cs="Arial"/>
          <w:szCs w:val="24"/>
        </w:rPr>
        <w:t xml:space="preserve"> are eligible for a revised warrant with a limit of $250,000 </w:t>
      </w:r>
      <w:r w:rsidRPr="006B693F">
        <w:rPr>
          <w:rFonts w:cs="Arial"/>
          <w:szCs w:val="24"/>
        </w:rPr>
        <w:lastRenderedPageBreak/>
        <w:t>to approve transactions against pre-negotiated instruments e.g. GSA FSS TOs &amp; DOs, GSA FSS BPA Calls</w:t>
      </w:r>
      <w:bookmarkStart w:id="2" w:name="_Hlk519681354"/>
      <w:r w:rsidRPr="006B693F">
        <w:rPr>
          <w:rFonts w:cs="Arial"/>
          <w:szCs w:val="24"/>
        </w:rPr>
        <w:t>, and Indefinite Delivery Vehicle TOs and DOs</w:t>
      </w:r>
      <w:bookmarkEnd w:id="2"/>
      <w:r w:rsidRPr="006B693F">
        <w:rPr>
          <w:rFonts w:cs="Arial"/>
          <w:szCs w:val="24"/>
        </w:rPr>
        <w:t>.  Holders of current FAC-C based warrants can expect to receive a new warrant with the $250,000 SAT, for approving awards against pre-negotiated instruments, in the coming weeks.</w:t>
      </w:r>
    </w:p>
    <w:p w14:paraId="3ED6430F" w14:textId="77777777" w:rsidR="003D1D90" w:rsidRPr="006B693F" w:rsidRDefault="003D1D90" w:rsidP="003D1D90">
      <w:pPr>
        <w:spacing w:line="240" w:lineRule="auto"/>
        <w:rPr>
          <w:rFonts w:cs="Arial"/>
          <w:szCs w:val="24"/>
        </w:rPr>
      </w:pPr>
    </w:p>
    <w:p w14:paraId="3CD778AE" w14:textId="77777777" w:rsidR="003D1D90" w:rsidRPr="006B693F" w:rsidRDefault="003D1D90" w:rsidP="003D1D90">
      <w:pPr>
        <w:spacing w:line="240" w:lineRule="auto"/>
        <w:rPr>
          <w:rFonts w:cs="Arial"/>
          <w:szCs w:val="24"/>
        </w:rPr>
      </w:pPr>
      <w:r w:rsidRPr="006B693F">
        <w:rPr>
          <w:rFonts w:cs="Arial"/>
          <w:szCs w:val="24"/>
        </w:rPr>
        <w:t>Warranted Contracting Officers who hold an acquisition certification other than the FAC-C will be eligible for a limit of $150,000 to approve awards against pre-negotiated instruments (GSA FSS TOs &amp; DOs, GSA FSS BPA Calls, and Indefinite Delivery Vehicle TOs and DOs).</w:t>
      </w:r>
    </w:p>
    <w:p w14:paraId="69112DA1" w14:textId="70B00E92" w:rsidR="000C2023" w:rsidRPr="001A64B0" w:rsidRDefault="00B86EC1" w:rsidP="001A64B0">
      <w:pPr>
        <w:pStyle w:val="Heading1"/>
      </w:pPr>
      <w:r>
        <w:t>Raising Awareness about the Risk of Contract Fraud</w:t>
      </w:r>
    </w:p>
    <w:p w14:paraId="38C8FC1B" w14:textId="5C957C05" w:rsidR="00B86EC1" w:rsidRPr="00A659F0" w:rsidRDefault="00B86EC1" w:rsidP="00705323">
      <w:pPr>
        <w:spacing w:after="120" w:line="240" w:lineRule="auto"/>
        <w:rPr>
          <w:rFonts w:cs="Arial"/>
        </w:rPr>
      </w:pPr>
      <w:r w:rsidRPr="00A659F0">
        <w:rPr>
          <w:rFonts w:cs="Arial"/>
        </w:rPr>
        <w:t>Every PMAP in HHS contains a statement in the Critical Elements about addressing weaknesses in the grant and procurement systems. That statement is certainly applicable to employees in the Contracts offices and in the Delegated Offices of Acquisition. You have a responsibility to assist in combating fraud, waste, and abuse in all departmental programs. You are encouraged to report matters involving fraud, waste, abuse, misconduct, and mismanagement in any HHS programs. The HHS Office of Inspector General (OIG) is responsible for conducting investigations into fraud, waste, and abuse involving HHS programs, including HHS contracts.</w:t>
      </w:r>
    </w:p>
    <w:p w14:paraId="117C60A4" w14:textId="77777777" w:rsidR="00B86EC1" w:rsidRPr="00A659F0" w:rsidRDefault="00B86EC1" w:rsidP="00C1781D">
      <w:pPr>
        <w:spacing w:after="120" w:line="240" w:lineRule="auto"/>
        <w:rPr>
          <w:rFonts w:cs="Arial"/>
        </w:rPr>
      </w:pPr>
      <w:r w:rsidRPr="00A659F0">
        <w:rPr>
          <w:rFonts w:cs="Arial"/>
        </w:rPr>
        <w:t>The HHS OIG has published tools to raise awareness about contractor fraud.</w:t>
      </w:r>
    </w:p>
    <w:p w14:paraId="6B943C55" w14:textId="77777777" w:rsidR="00B86EC1" w:rsidRPr="00A659F0" w:rsidRDefault="001933C8" w:rsidP="00C1781D">
      <w:pPr>
        <w:numPr>
          <w:ilvl w:val="0"/>
          <w:numId w:val="39"/>
        </w:numPr>
        <w:spacing w:line="240" w:lineRule="auto"/>
        <w:rPr>
          <w:rFonts w:eastAsia="Times New Roman" w:cs="Arial"/>
        </w:rPr>
      </w:pPr>
      <w:hyperlink r:id="rId29" w:history="1">
        <w:r w:rsidR="00B86EC1" w:rsidRPr="00A659F0">
          <w:rPr>
            <w:rStyle w:val="Hyperlink"/>
            <w:rFonts w:cs="Arial"/>
          </w:rPr>
          <w:t xml:space="preserve">Examples of </w:t>
        </w:r>
        <w:r w:rsidR="00B86EC1" w:rsidRPr="00A659F0">
          <w:rPr>
            <w:rStyle w:val="Hyperlink"/>
            <w:rFonts w:eastAsia="Times New Roman" w:cs="Arial"/>
          </w:rPr>
          <w:t>Contract Fraud</w:t>
        </w:r>
      </w:hyperlink>
    </w:p>
    <w:p w14:paraId="30DB7108" w14:textId="77777777" w:rsidR="00B86EC1" w:rsidRPr="00B86EC1" w:rsidRDefault="001933C8" w:rsidP="00C1781D">
      <w:pPr>
        <w:numPr>
          <w:ilvl w:val="0"/>
          <w:numId w:val="39"/>
        </w:numPr>
        <w:spacing w:line="240" w:lineRule="auto"/>
        <w:rPr>
          <w:rFonts w:eastAsia="Times New Roman" w:cs="Arial"/>
        </w:rPr>
      </w:pPr>
      <w:hyperlink r:id="rId30" w:history="1">
        <w:r w:rsidR="00B86EC1" w:rsidRPr="00B86EC1">
          <w:rPr>
            <w:rStyle w:val="Hyperlink"/>
            <w:rFonts w:eastAsia="Times New Roman" w:cs="Arial"/>
          </w:rPr>
          <w:t xml:space="preserve">Awareness </w:t>
        </w:r>
        <w:r w:rsidR="00B86EC1" w:rsidRPr="00B86EC1">
          <w:rPr>
            <w:rStyle w:val="Hyperlink"/>
            <w:rFonts w:cs="Arial"/>
          </w:rPr>
          <w:t>Poster</w:t>
        </w:r>
      </w:hyperlink>
    </w:p>
    <w:p w14:paraId="6D8C05F6" w14:textId="77777777" w:rsidR="00B86EC1" w:rsidRPr="00A659F0" w:rsidRDefault="001933C8" w:rsidP="00C1781D">
      <w:pPr>
        <w:numPr>
          <w:ilvl w:val="0"/>
          <w:numId w:val="39"/>
        </w:numPr>
        <w:spacing w:line="240" w:lineRule="auto"/>
        <w:rPr>
          <w:rFonts w:eastAsia="Times New Roman" w:cs="Arial"/>
        </w:rPr>
      </w:pPr>
      <w:hyperlink r:id="rId31" w:history="1">
        <w:r w:rsidR="00B86EC1" w:rsidRPr="00A659F0">
          <w:rPr>
            <w:rStyle w:val="Hyperlink"/>
            <w:rFonts w:cs="Arial"/>
          </w:rPr>
          <w:t>4-minute Video</w:t>
        </w:r>
      </w:hyperlink>
      <w:r w:rsidR="00B86EC1" w:rsidRPr="00A659F0">
        <w:rPr>
          <w:rFonts w:eastAsia="Times New Roman" w:cs="Arial"/>
        </w:rPr>
        <w:t xml:space="preserve"> about FAR and helpful information to avoid problems with an HHS contract</w:t>
      </w:r>
    </w:p>
    <w:p w14:paraId="2FCDA834" w14:textId="77777777" w:rsidR="00B86EC1" w:rsidRPr="00A659F0" w:rsidRDefault="001933C8" w:rsidP="00C1781D">
      <w:pPr>
        <w:numPr>
          <w:ilvl w:val="0"/>
          <w:numId w:val="39"/>
        </w:numPr>
        <w:spacing w:line="240" w:lineRule="auto"/>
        <w:rPr>
          <w:rFonts w:eastAsia="Times New Roman" w:cs="Arial"/>
        </w:rPr>
      </w:pPr>
      <w:hyperlink r:id="rId32" w:history="1">
        <w:r w:rsidR="00B86EC1" w:rsidRPr="00A659F0">
          <w:rPr>
            <w:rStyle w:val="Hyperlink"/>
            <w:rFonts w:cs="Arial"/>
          </w:rPr>
          <w:t>Contractor Self-Disclosure Program</w:t>
        </w:r>
      </w:hyperlink>
      <w:r w:rsidR="00B86EC1" w:rsidRPr="00A659F0">
        <w:rPr>
          <w:rFonts w:eastAsia="Times New Roman" w:cs="Arial"/>
        </w:rPr>
        <w:t xml:space="preserve"> and </w:t>
      </w:r>
      <w:hyperlink r:id="rId33" w:history="1">
        <w:r w:rsidR="00B86EC1" w:rsidRPr="00A659F0">
          <w:rPr>
            <w:rStyle w:val="Hyperlink"/>
            <w:rFonts w:cs="Arial"/>
          </w:rPr>
          <w:t>Form</w:t>
        </w:r>
      </w:hyperlink>
    </w:p>
    <w:p w14:paraId="7FBA93DA" w14:textId="77777777" w:rsidR="00B86EC1" w:rsidRPr="00B86EC1" w:rsidRDefault="001933C8" w:rsidP="00C1781D">
      <w:pPr>
        <w:numPr>
          <w:ilvl w:val="0"/>
          <w:numId w:val="39"/>
        </w:numPr>
        <w:spacing w:after="240" w:line="240" w:lineRule="auto"/>
        <w:rPr>
          <w:rStyle w:val="Hyperlink"/>
          <w:rFonts w:eastAsia="Times New Roman" w:cs="Arial"/>
          <w:color w:val="auto"/>
          <w:u w:val="none"/>
        </w:rPr>
      </w:pPr>
      <w:hyperlink r:id="rId34" w:history="1">
        <w:r w:rsidR="00B86EC1" w:rsidRPr="00B86EC1">
          <w:rPr>
            <w:rStyle w:val="Hyperlink"/>
            <w:rFonts w:eastAsia="Times New Roman" w:cs="Arial"/>
          </w:rPr>
          <w:t>OIG Hotline Page</w:t>
        </w:r>
      </w:hyperlink>
    </w:p>
    <w:p w14:paraId="33C6FE8B" w14:textId="32FEA413" w:rsidR="00A33AD2" w:rsidRDefault="00B86EC1" w:rsidP="00C1781D">
      <w:pPr>
        <w:spacing w:line="240" w:lineRule="auto"/>
        <w:rPr>
          <w:sz w:val="32"/>
          <w:szCs w:val="32"/>
        </w:rPr>
      </w:pPr>
      <w:r w:rsidRPr="00A659F0">
        <w:rPr>
          <w:rFonts w:cs="Arial"/>
        </w:rPr>
        <w:t xml:space="preserve">Additionally, the NIH Office of Management Assessment’s Division of Program Integrity (DPI) is responsible for conducting independent reviews and investigations of allegations involving (1) fraud, waste, abuse, mismanagement, misuse and employee misconduct of NIH grants and contracts; (2) grantee or contractor conflicts of interest, and (3) other misconduct or misuses of NIH resources by NIH employee or others doing business with NIH. DPI also performs a liaison role for the HHS OIG on investigations at NIH and collaborates with the HHS OIG on specific cases as appropriate. DPI monitors the </w:t>
      </w:r>
      <w:hyperlink r:id="rId35" w:history="1">
        <w:r w:rsidRPr="00A659F0">
          <w:rPr>
            <w:rStyle w:val="Hyperlink"/>
            <w:rFonts w:cs="Arial"/>
          </w:rPr>
          <w:t>NIH Hotline</w:t>
        </w:r>
      </w:hyperlink>
      <w:r w:rsidRPr="00A659F0">
        <w:rPr>
          <w:rFonts w:cs="Arial"/>
        </w:rPr>
        <w:t xml:space="preserve"> which is available to NIH staff and the public to report allegations. You can learn more about DPI by visiting this NIH </w:t>
      </w:r>
      <w:hyperlink r:id="rId36" w:history="1">
        <w:r w:rsidRPr="00A659F0">
          <w:rPr>
            <w:rStyle w:val="Hyperlink"/>
            <w:rFonts w:cs="Arial"/>
          </w:rPr>
          <w:t>web site</w:t>
        </w:r>
      </w:hyperlink>
      <w:r w:rsidRPr="00A659F0">
        <w:rPr>
          <w:rFonts w:cs="Arial"/>
        </w:rPr>
        <w:t>.</w:t>
      </w:r>
    </w:p>
    <w:p w14:paraId="741FE725" w14:textId="77777777" w:rsidR="00A33AD2" w:rsidRDefault="009B2C03" w:rsidP="00A5768F">
      <w:pPr>
        <w:pStyle w:val="Heading1"/>
        <w:rPr>
          <w:szCs w:val="24"/>
        </w:rPr>
      </w:pPr>
      <w:r>
        <w:t>Recap:</w:t>
      </w:r>
      <w:r w:rsidR="00A9431D">
        <w:t xml:space="preserve"> The NIH Reverse Industry Day</w:t>
      </w:r>
    </w:p>
    <w:p w14:paraId="57DA8B9A" w14:textId="77777777" w:rsidR="008B7E27" w:rsidRPr="000235E9" w:rsidRDefault="008B7E27" w:rsidP="00CA50DB">
      <w:pPr>
        <w:spacing w:after="120" w:line="240" w:lineRule="auto"/>
        <w:rPr>
          <w:rFonts w:cs="Arial"/>
        </w:rPr>
      </w:pPr>
      <w:r w:rsidRPr="000235E9">
        <w:rPr>
          <w:rFonts w:cs="Arial"/>
        </w:rPr>
        <w:t xml:space="preserve">On June 6, 2018, the National Institutes of Health (NIH) and the Professional Services Council (PSC) hosted a Reverse Industry Day at the </w:t>
      </w:r>
      <w:proofErr w:type="spellStart"/>
      <w:r w:rsidRPr="000235E9">
        <w:rPr>
          <w:rFonts w:cs="Arial"/>
        </w:rPr>
        <w:t>Natcher</w:t>
      </w:r>
      <w:proofErr w:type="spellEnd"/>
      <w:r w:rsidRPr="000235E9">
        <w:rPr>
          <w:rFonts w:cs="Arial"/>
        </w:rPr>
        <w:t xml:space="preserve"> Conference Center. The Reverse Industry Day provided an opportunity for industry to express their perspectives pertaining to acquisitions related interactions with the NIH.</w:t>
      </w:r>
    </w:p>
    <w:p w14:paraId="762A8548" w14:textId="77777777" w:rsidR="008B7E27" w:rsidRPr="000235E9" w:rsidRDefault="008B7E27" w:rsidP="00CA50DB">
      <w:pPr>
        <w:spacing w:after="120" w:line="240" w:lineRule="auto"/>
        <w:rPr>
          <w:rFonts w:cs="Arial"/>
        </w:rPr>
      </w:pPr>
      <w:r w:rsidRPr="000235E9">
        <w:rPr>
          <w:rFonts w:cs="Arial"/>
        </w:rPr>
        <w:t xml:space="preserve">Ms. Diane Frasier, Head of Contracting Activity and Director of the Office of Acquisition and Logistics Management, commenced the event with remarks and Dr. Alfred Johnson, Deputy Director for Management, acted as the keynote speaker. A presentation demonstrating the challenges that companies face when striving to conduct business with the NIH followed. The second session </w:t>
      </w:r>
      <w:r w:rsidRPr="000235E9">
        <w:rPr>
          <w:rFonts w:cs="Arial"/>
        </w:rPr>
        <w:lastRenderedPageBreak/>
        <w:t>consisted of a panel comprised of 4 industry representatives and members of the PSC.  The panelists discussed the importance of the availability, and clarity, of the statement of work and evaluation criteria in Requests for Proposals. During both sessions, NIH staff had the opportunity to ask questions and engage in conversation with industry representatives.</w:t>
      </w:r>
    </w:p>
    <w:p w14:paraId="58482267" w14:textId="77777777" w:rsidR="008B7E27" w:rsidRPr="000235E9" w:rsidRDefault="008B7E27" w:rsidP="00CA50DB">
      <w:pPr>
        <w:spacing w:after="120" w:line="240" w:lineRule="auto"/>
        <w:rPr>
          <w:rFonts w:cs="Arial"/>
        </w:rPr>
      </w:pPr>
      <w:r w:rsidRPr="000235E9">
        <w:rPr>
          <w:rFonts w:cs="Arial"/>
        </w:rPr>
        <w:t>The final session consisted of a “mockup” debriefing meeting for a lost bid. Industry representatives provided a glimpse of the discussions that arise when a company loses a bid. Moreover, industry furnished input regarding shortcomings within the debriefing process and the overall importance of a thorough debriefing. Both industry and the NIH staff were engaged throughout the question and answer session.</w:t>
      </w:r>
    </w:p>
    <w:p w14:paraId="1C21CDA2" w14:textId="14512746" w:rsidR="008B7E27" w:rsidRDefault="008B7E27" w:rsidP="009D76E0">
      <w:pPr>
        <w:spacing w:after="120" w:line="240" w:lineRule="auto"/>
        <w:rPr>
          <w:rFonts w:cs="Arial"/>
        </w:rPr>
      </w:pPr>
      <w:r w:rsidRPr="000235E9">
        <w:rPr>
          <w:rFonts w:cs="Arial"/>
        </w:rPr>
        <w:t xml:space="preserve">Ms. Diane Frasier provided the closing remarks and the conference adjourned. The NIH will host an HHS wide Reverse Industry Day on October 9, 2018, in the </w:t>
      </w:r>
      <w:proofErr w:type="spellStart"/>
      <w:r w:rsidRPr="000235E9">
        <w:rPr>
          <w:rFonts w:cs="Arial"/>
        </w:rPr>
        <w:t>Natcher</w:t>
      </w:r>
      <w:proofErr w:type="spellEnd"/>
      <w:r w:rsidRPr="000235E9">
        <w:rPr>
          <w:rFonts w:cs="Arial"/>
        </w:rPr>
        <w:t xml:space="preserve"> Conference Center.</w:t>
      </w:r>
    </w:p>
    <w:p w14:paraId="085C7742" w14:textId="5E57D5BF" w:rsidR="00CA50DB" w:rsidRDefault="00CA50DB" w:rsidP="009D76E0">
      <w:pPr>
        <w:spacing w:after="120" w:line="240" w:lineRule="auto"/>
        <w:rPr>
          <w:rFonts w:cs="Arial"/>
        </w:rPr>
      </w:pPr>
    </w:p>
    <w:p w14:paraId="40E06B6B" w14:textId="77777777" w:rsidR="00CA50DB" w:rsidRPr="00B7565F" w:rsidRDefault="00CA50DB" w:rsidP="00CA50DB">
      <w:pPr>
        <w:pStyle w:val="Heading1"/>
        <w:spacing w:before="0"/>
      </w:pPr>
      <w:r>
        <w:t>Recap Corner</w:t>
      </w:r>
    </w:p>
    <w:p w14:paraId="74DF56DA" w14:textId="77777777" w:rsidR="00EC4251" w:rsidRDefault="00EC4251" w:rsidP="00EC4251">
      <w:r w:rsidRPr="00FC778F">
        <w:t>Below is a recap of recent OALM communications to the NIH acquisition workforce (</w:t>
      </w:r>
      <w:r>
        <w:t>5/22</w:t>
      </w:r>
      <w:r w:rsidRPr="00FC778F">
        <w:t xml:space="preserve">/18 – </w:t>
      </w:r>
      <w:r>
        <w:t>7</w:t>
      </w:r>
      <w:r w:rsidRPr="00FC778F">
        <w:t>/</w:t>
      </w:r>
      <w:r>
        <w:t>1</w:t>
      </w:r>
      <w:r w:rsidRPr="00FC778F">
        <w:t>7/18)</w:t>
      </w:r>
    </w:p>
    <w:tbl>
      <w:tblPr>
        <w:tblStyle w:val="GridTable1Light"/>
        <w:tblW w:w="0" w:type="auto"/>
        <w:tblBorders>
          <w:insideH w:val="single" w:sz="6" w:space="0" w:color="999999" w:themeColor="text1" w:themeTint="66"/>
          <w:insideV w:val="single" w:sz="6" w:space="0" w:color="999999" w:themeColor="text1" w:themeTint="66"/>
        </w:tblBorders>
        <w:tblLook w:val="0620" w:firstRow="1" w:lastRow="0" w:firstColumn="0" w:lastColumn="0" w:noHBand="1" w:noVBand="1"/>
        <w:tblCaption w:val="OALM Communications Log"/>
        <w:tblDescription w:val="Provides a list of OALM Communications issued from January 1 - March 9, 2018. The list provides the ID, Date, Title and Purpose of the Communication."/>
      </w:tblPr>
      <w:tblGrid>
        <w:gridCol w:w="1075"/>
        <w:gridCol w:w="1017"/>
        <w:gridCol w:w="3933"/>
        <w:gridCol w:w="4590"/>
      </w:tblGrid>
      <w:tr w:rsidR="00EC4251" w:rsidRPr="00FC778F" w14:paraId="11C05326" w14:textId="77777777" w:rsidTr="009D58C1">
        <w:trPr>
          <w:cnfStyle w:val="100000000000" w:firstRow="1" w:lastRow="0" w:firstColumn="0" w:lastColumn="0" w:oddVBand="0" w:evenVBand="0" w:oddHBand="0" w:evenHBand="0" w:firstRowFirstColumn="0" w:firstRowLastColumn="0" w:lastRowFirstColumn="0" w:lastRowLastColumn="0"/>
          <w:tblHeader/>
        </w:trPr>
        <w:tc>
          <w:tcPr>
            <w:tcW w:w="1075" w:type="dxa"/>
          </w:tcPr>
          <w:p w14:paraId="3713F22A" w14:textId="77777777" w:rsidR="00EC4251" w:rsidRPr="00FC778F" w:rsidRDefault="00EC4251" w:rsidP="008C4C0D">
            <w:pPr>
              <w:spacing w:after="160"/>
            </w:pPr>
            <w:r w:rsidRPr="00FC778F">
              <w:t>ID</w:t>
            </w:r>
          </w:p>
        </w:tc>
        <w:tc>
          <w:tcPr>
            <w:tcW w:w="1017" w:type="dxa"/>
          </w:tcPr>
          <w:p w14:paraId="133E1099" w14:textId="77777777" w:rsidR="00EC4251" w:rsidRPr="00FC778F" w:rsidRDefault="00EC4251" w:rsidP="008C4C0D">
            <w:pPr>
              <w:spacing w:after="160"/>
            </w:pPr>
            <w:r w:rsidRPr="00FC778F">
              <w:t>Date</w:t>
            </w:r>
          </w:p>
        </w:tc>
        <w:tc>
          <w:tcPr>
            <w:tcW w:w="3933" w:type="dxa"/>
          </w:tcPr>
          <w:p w14:paraId="4F0F812B" w14:textId="77777777" w:rsidR="00EC4251" w:rsidRPr="00FC778F" w:rsidRDefault="00EC4251" w:rsidP="008C4C0D">
            <w:pPr>
              <w:spacing w:after="160"/>
            </w:pPr>
            <w:r w:rsidRPr="00FC778F">
              <w:t>Title</w:t>
            </w:r>
          </w:p>
        </w:tc>
        <w:tc>
          <w:tcPr>
            <w:tcW w:w="4590" w:type="dxa"/>
          </w:tcPr>
          <w:p w14:paraId="20DB2251" w14:textId="77777777" w:rsidR="00EC4251" w:rsidRPr="00FC778F" w:rsidRDefault="00EC4251" w:rsidP="008C4C0D">
            <w:pPr>
              <w:spacing w:after="160"/>
            </w:pPr>
            <w:r w:rsidRPr="00FC778F">
              <w:t>Purpose</w:t>
            </w:r>
          </w:p>
        </w:tc>
      </w:tr>
      <w:tr w:rsidR="00EC4251" w:rsidRPr="00FC778F" w14:paraId="12C24F1B" w14:textId="77777777" w:rsidTr="009D58C1">
        <w:tc>
          <w:tcPr>
            <w:tcW w:w="1075" w:type="dxa"/>
          </w:tcPr>
          <w:p w14:paraId="1A42847E" w14:textId="77777777" w:rsidR="00EC4251" w:rsidRPr="00FC778F" w:rsidRDefault="00EC4251" w:rsidP="008C4C0D">
            <w:pPr>
              <w:spacing w:after="160"/>
            </w:pPr>
            <w:r w:rsidRPr="00FC778F">
              <w:t>18-19</w:t>
            </w:r>
          </w:p>
        </w:tc>
        <w:tc>
          <w:tcPr>
            <w:tcW w:w="1017" w:type="dxa"/>
          </w:tcPr>
          <w:p w14:paraId="04E18548" w14:textId="77777777" w:rsidR="00EC4251" w:rsidRPr="00FC778F" w:rsidRDefault="00EC4251" w:rsidP="008C4C0D">
            <w:pPr>
              <w:spacing w:after="160"/>
            </w:pPr>
            <w:r w:rsidRPr="00FC778F">
              <w:t>5/22/18</w:t>
            </w:r>
          </w:p>
        </w:tc>
        <w:tc>
          <w:tcPr>
            <w:tcW w:w="3933" w:type="dxa"/>
          </w:tcPr>
          <w:p w14:paraId="5AC2D4C6" w14:textId="77777777" w:rsidR="00EC4251" w:rsidRPr="00FC778F" w:rsidRDefault="00EC4251" w:rsidP="008C4C0D">
            <w:pPr>
              <w:spacing w:after="160"/>
            </w:pPr>
            <w:r w:rsidRPr="00FC778F">
              <w:t>DCIS ALERT –NIH Item 100 Type of Procurement Action - ERROR</w:t>
            </w:r>
          </w:p>
        </w:tc>
        <w:tc>
          <w:tcPr>
            <w:tcW w:w="4590" w:type="dxa"/>
          </w:tcPr>
          <w:p w14:paraId="7F69A3EA" w14:textId="77777777" w:rsidR="00EC4251" w:rsidRPr="00FC778F" w:rsidRDefault="00EC4251" w:rsidP="008C4C0D">
            <w:pPr>
              <w:spacing w:after="160"/>
            </w:pPr>
            <w:r w:rsidRPr="00FC778F">
              <w:t>Resolution of DCIS Item 100 Type of Procurement Action - ERROR</w:t>
            </w:r>
          </w:p>
        </w:tc>
      </w:tr>
      <w:tr w:rsidR="00EC4251" w:rsidRPr="00FC778F" w14:paraId="3E5559C2" w14:textId="77777777" w:rsidTr="009D58C1">
        <w:tc>
          <w:tcPr>
            <w:tcW w:w="1075" w:type="dxa"/>
          </w:tcPr>
          <w:p w14:paraId="43618577" w14:textId="77777777" w:rsidR="00EC4251" w:rsidRPr="00FC778F" w:rsidRDefault="00EC4251" w:rsidP="008C4C0D">
            <w:pPr>
              <w:spacing w:after="160"/>
            </w:pPr>
            <w:r w:rsidRPr="00FC778F">
              <w:t>18-20</w:t>
            </w:r>
          </w:p>
        </w:tc>
        <w:tc>
          <w:tcPr>
            <w:tcW w:w="1017" w:type="dxa"/>
          </w:tcPr>
          <w:p w14:paraId="0F4A0B16" w14:textId="77777777" w:rsidR="00EC4251" w:rsidRPr="00FC778F" w:rsidRDefault="00EC4251" w:rsidP="008C4C0D">
            <w:pPr>
              <w:spacing w:after="160"/>
            </w:pPr>
            <w:r w:rsidRPr="00FC778F">
              <w:t>5/22/18</w:t>
            </w:r>
          </w:p>
        </w:tc>
        <w:tc>
          <w:tcPr>
            <w:tcW w:w="3933" w:type="dxa"/>
          </w:tcPr>
          <w:p w14:paraId="26981134" w14:textId="77777777" w:rsidR="00EC4251" w:rsidRPr="00FC778F" w:rsidRDefault="00EC4251" w:rsidP="008C4C0D">
            <w:pPr>
              <w:spacing w:after="160"/>
            </w:pPr>
            <w:r w:rsidRPr="00FC778F">
              <w:t xml:space="preserve">NIH Reverse Industry </w:t>
            </w:r>
          </w:p>
        </w:tc>
        <w:tc>
          <w:tcPr>
            <w:tcW w:w="4590" w:type="dxa"/>
          </w:tcPr>
          <w:p w14:paraId="32D8B2EF" w14:textId="77777777" w:rsidR="00EC4251" w:rsidRPr="00FC778F" w:rsidRDefault="00EC4251" w:rsidP="008C4C0D">
            <w:pPr>
              <w:spacing w:after="160"/>
            </w:pPr>
            <w:r w:rsidRPr="00FC778F">
              <w:t>Notice of Reverse Industry Day</w:t>
            </w:r>
          </w:p>
        </w:tc>
      </w:tr>
      <w:tr w:rsidR="00EC4251" w:rsidRPr="00FC778F" w14:paraId="1B845DEB" w14:textId="77777777" w:rsidTr="009D58C1">
        <w:tc>
          <w:tcPr>
            <w:tcW w:w="1075" w:type="dxa"/>
          </w:tcPr>
          <w:p w14:paraId="6B6146A2" w14:textId="77777777" w:rsidR="00EC4251" w:rsidRPr="00FC778F" w:rsidRDefault="00EC4251" w:rsidP="008C4C0D">
            <w:pPr>
              <w:spacing w:after="160"/>
            </w:pPr>
            <w:r w:rsidRPr="00FC778F">
              <w:t>18-21</w:t>
            </w:r>
          </w:p>
        </w:tc>
        <w:tc>
          <w:tcPr>
            <w:tcW w:w="1017" w:type="dxa"/>
          </w:tcPr>
          <w:p w14:paraId="0DDFA8EB" w14:textId="77777777" w:rsidR="00EC4251" w:rsidRPr="00FC778F" w:rsidRDefault="00EC4251" w:rsidP="008C4C0D">
            <w:pPr>
              <w:spacing w:after="160"/>
            </w:pPr>
            <w:r w:rsidRPr="00FC778F">
              <w:t>6</w:t>
            </w:r>
            <w:r>
              <w:t>/</w:t>
            </w:r>
            <w:r w:rsidRPr="00FC778F">
              <w:t>5</w:t>
            </w:r>
            <w:r>
              <w:t>/</w:t>
            </w:r>
            <w:r w:rsidRPr="00FC778F">
              <w:t>18</w:t>
            </w:r>
          </w:p>
        </w:tc>
        <w:tc>
          <w:tcPr>
            <w:tcW w:w="3933" w:type="dxa"/>
          </w:tcPr>
          <w:p w14:paraId="586000C8" w14:textId="77777777" w:rsidR="00EC4251" w:rsidRPr="00FC778F" w:rsidRDefault="00EC4251" w:rsidP="008C4C0D">
            <w:pPr>
              <w:spacing w:after="160"/>
            </w:pPr>
            <w:r w:rsidRPr="00FC778F">
              <w:t>PRISM Displays Contract Number Not Found - Error Message</w:t>
            </w:r>
          </w:p>
        </w:tc>
        <w:tc>
          <w:tcPr>
            <w:tcW w:w="4590" w:type="dxa"/>
          </w:tcPr>
          <w:p w14:paraId="760AE872" w14:textId="77777777" w:rsidR="00EC4251" w:rsidRPr="00FC778F" w:rsidRDefault="00EC4251" w:rsidP="008C4C0D">
            <w:pPr>
              <w:spacing w:after="160"/>
            </w:pPr>
            <w:r w:rsidRPr="00FC778F">
              <w:t>Correcting Contract Number in PRISM</w:t>
            </w:r>
          </w:p>
        </w:tc>
      </w:tr>
      <w:tr w:rsidR="00EC4251" w:rsidRPr="00FC778F" w14:paraId="73448B45" w14:textId="77777777" w:rsidTr="009D58C1">
        <w:tc>
          <w:tcPr>
            <w:tcW w:w="1075" w:type="dxa"/>
          </w:tcPr>
          <w:p w14:paraId="4013C7A1" w14:textId="77777777" w:rsidR="00EC4251" w:rsidRPr="00FC778F" w:rsidRDefault="00EC4251" w:rsidP="008C4C0D">
            <w:pPr>
              <w:spacing w:after="160"/>
            </w:pPr>
            <w:r>
              <w:t>18-22</w:t>
            </w:r>
          </w:p>
        </w:tc>
        <w:tc>
          <w:tcPr>
            <w:tcW w:w="1017" w:type="dxa"/>
          </w:tcPr>
          <w:p w14:paraId="51DE3B5C" w14:textId="77777777" w:rsidR="00EC4251" w:rsidRPr="00FC778F" w:rsidRDefault="00EC4251" w:rsidP="008C4C0D">
            <w:pPr>
              <w:spacing w:after="160"/>
            </w:pPr>
            <w:r>
              <w:t>618/18</w:t>
            </w:r>
          </w:p>
        </w:tc>
        <w:tc>
          <w:tcPr>
            <w:tcW w:w="3933" w:type="dxa"/>
          </w:tcPr>
          <w:p w14:paraId="55982A63" w14:textId="77777777" w:rsidR="00EC4251" w:rsidRPr="00FC778F" w:rsidRDefault="00EC4251" w:rsidP="008C4C0D">
            <w:pPr>
              <w:spacing w:after="160"/>
            </w:pPr>
            <w:r w:rsidRPr="00C3645D">
              <w:t>SAM Update</w:t>
            </w:r>
          </w:p>
        </w:tc>
        <w:tc>
          <w:tcPr>
            <w:tcW w:w="4590" w:type="dxa"/>
          </w:tcPr>
          <w:p w14:paraId="499EFC5E" w14:textId="77777777" w:rsidR="00EC4251" w:rsidRPr="00FC778F" w:rsidRDefault="00EC4251" w:rsidP="008C4C0D">
            <w:pPr>
              <w:spacing w:after="160"/>
            </w:pPr>
            <w:r>
              <w:t>“</w:t>
            </w:r>
            <w:r w:rsidRPr="00C3645D">
              <w:t xml:space="preserve">Special Notice” in FBO urging contractors to plan as far in advance as possible for initial and renewal registrations.  </w:t>
            </w:r>
          </w:p>
        </w:tc>
      </w:tr>
      <w:tr w:rsidR="00EC4251" w:rsidRPr="00FC778F" w14:paraId="19DC7B8D" w14:textId="77777777" w:rsidTr="009D58C1">
        <w:tc>
          <w:tcPr>
            <w:tcW w:w="1075" w:type="dxa"/>
          </w:tcPr>
          <w:p w14:paraId="279FD034" w14:textId="77777777" w:rsidR="00EC4251" w:rsidRPr="00FC778F" w:rsidRDefault="00EC4251" w:rsidP="008C4C0D">
            <w:pPr>
              <w:spacing w:after="160"/>
            </w:pPr>
            <w:r w:rsidRPr="00FC778F">
              <w:t>18-23</w:t>
            </w:r>
          </w:p>
        </w:tc>
        <w:tc>
          <w:tcPr>
            <w:tcW w:w="1017" w:type="dxa"/>
          </w:tcPr>
          <w:p w14:paraId="3903115D" w14:textId="77777777" w:rsidR="00EC4251" w:rsidRPr="00FC778F" w:rsidRDefault="00EC4251" w:rsidP="008C4C0D">
            <w:pPr>
              <w:spacing w:after="160"/>
            </w:pPr>
            <w:r w:rsidRPr="00FC778F">
              <w:t xml:space="preserve"> 6/29/18</w:t>
            </w:r>
          </w:p>
        </w:tc>
        <w:tc>
          <w:tcPr>
            <w:tcW w:w="3933" w:type="dxa"/>
          </w:tcPr>
          <w:p w14:paraId="45BDF8A6" w14:textId="77777777" w:rsidR="00EC4251" w:rsidRPr="00FC778F" w:rsidRDefault="00EC4251" w:rsidP="008C4C0D">
            <w:pPr>
              <w:spacing w:after="160"/>
            </w:pPr>
            <w:r w:rsidRPr="00FC778F">
              <w:t>New Login Process for SAM</w:t>
            </w:r>
          </w:p>
        </w:tc>
        <w:tc>
          <w:tcPr>
            <w:tcW w:w="4590" w:type="dxa"/>
          </w:tcPr>
          <w:p w14:paraId="23F8C64F" w14:textId="77777777" w:rsidR="00EC4251" w:rsidRPr="00FC778F" w:rsidRDefault="00EC4251" w:rsidP="008C4C0D">
            <w:pPr>
              <w:spacing w:after="160"/>
            </w:pPr>
            <w:r w:rsidRPr="00FC778F">
              <w:t>Notice of SAM implementation of multi-factor authentication for all registered SAM.gov users.</w:t>
            </w:r>
          </w:p>
        </w:tc>
      </w:tr>
      <w:tr w:rsidR="00EC4251" w:rsidRPr="00FC778F" w14:paraId="0C480575" w14:textId="77777777" w:rsidTr="009D58C1">
        <w:tc>
          <w:tcPr>
            <w:tcW w:w="1075" w:type="dxa"/>
          </w:tcPr>
          <w:p w14:paraId="3A7C8233" w14:textId="77777777" w:rsidR="00EC4251" w:rsidRPr="00FC778F" w:rsidRDefault="00EC4251" w:rsidP="008C4C0D">
            <w:pPr>
              <w:spacing w:after="160"/>
            </w:pPr>
            <w:r w:rsidRPr="00FC778F">
              <w:t>18-24</w:t>
            </w:r>
          </w:p>
        </w:tc>
        <w:tc>
          <w:tcPr>
            <w:tcW w:w="1017" w:type="dxa"/>
          </w:tcPr>
          <w:p w14:paraId="559BBE49" w14:textId="77777777" w:rsidR="00EC4251" w:rsidRPr="00FC778F" w:rsidRDefault="00EC4251" w:rsidP="008C4C0D">
            <w:pPr>
              <w:spacing w:after="160"/>
            </w:pPr>
            <w:r w:rsidRPr="00FC778F">
              <w:t>6/29/18</w:t>
            </w:r>
          </w:p>
        </w:tc>
        <w:tc>
          <w:tcPr>
            <w:tcW w:w="3933" w:type="dxa"/>
          </w:tcPr>
          <w:p w14:paraId="52DFD59A" w14:textId="77777777" w:rsidR="00EC4251" w:rsidRPr="00FC778F" w:rsidRDefault="00EC4251" w:rsidP="008C4C0D">
            <w:pPr>
              <w:spacing w:after="160"/>
            </w:pPr>
            <w:r w:rsidRPr="00FC778F">
              <w:t>Execution of NBS PO Final Close Program on FY13 Canceling Year</w:t>
            </w:r>
          </w:p>
        </w:tc>
        <w:tc>
          <w:tcPr>
            <w:tcW w:w="4590" w:type="dxa"/>
          </w:tcPr>
          <w:p w14:paraId="7012620A" w14:textId="77777777" w:rsidR="00EC4251" w:rsidRPr="00FC778F" w:rsidRDefault="00EC4251" w:rsidP="008C4C0D">
            <w:pPr>
              <w:spacing w:after="160"/>
            </w:pPr>
            <w:r>
              <w:t>Information on Canceling Year Funds</w:t>
            </w:r>
          </w:p>
        </w:tc>
      </w:tr>
      <w:tr w:rsidR="00EC4251" w:rsidRPr="00FC778F" w14:paraId="2E85A8D0" w14:textId="77777777" w:rsidTr="009D58C1">
        <w:tc>
          <w:tcPr>
            <w:tcW w:w="1075" w:type="dxa"/>
          </w:tcPr>
          <w:p w14:paraId="42061BAA" w14:textId="77777777" w:rsidR="00EC4251" w:rsidRPr="00FC778F" w:rsidRDefault="00EC4251" w:rsidP="008C4C0D">
            <w:pPr>
              <w:spacing w:after="160"/>
            </w:pPr>
            <w:r w:rsidRPr="00FC778F">
              <w:t>18-25</w:t>
            </w:r>
          </w:p>
        </w:tc>
        <w:tc>
          <w:tcPr>
            <w:tcW w:w="1017" w:type="dxa"/>
          </w:tcPr>
          <w:p w14:paraId="7F603181" w14:textId="77777777" w:rsidR="00EC4251" w:rsidRPr="00FC778F" w:rsidRDefault="00EC4251" w:rsidP="008C4C0D">
            <w:pPr>
              <w:spacing w:after="160"/>
            </w:pPr>
            <w:r w:rsidRPr="00FC778F">
              <w:t>7/3/18</w:t>
            </w:r>
          </w:p>
        </w:tc>
        <w:tc>
          <w:tcPr>
            <w:tcW w:w="3933" w:type="dxa"/>
          </w:tcPr>
          <w:p w14:paraId="28581F85" w14:textId="77777777" w:rsidR="00EC4251" w:rsidRPr="00FC778F" w:rsidRDefault="00EC4251" w:rsidP="008C4C0D">
            <w:pPr>
              <w:spacing w:after="160"/>
            </w:pPr>
            <w:r w:rsidRPr="00FC778F">
              <w:t xml:space="preserve">Document Generation System (DGS) Training </w:t>
            </w:r>
          </w:p>
        </w:tc>
        <w:tc>
          <w:tcPr>
            <w:tcW w:w="4590" w:type="dxa"/>
          </w:tcPr>
          <w:p w14:paraId="57BDFC52" w14:textId="77777777" w:rsidR="00EC4251" w:rsidRPr="00FC778F" w:rsidRDefault="00EC4251" w:rsidP="008C4C0D">
            <w:pPr>
              <w:spacing w:after="160"/>
            </w:pPr>
            <w:r w:rsidRPr="00FC778F">
              <w:t>The DGS Team will be offering DGS Training</w:t>
            </w:r>
          </w:p>
        </w:tc>
        <w:bookmarkStart w:id="3" w:name="_GoBack"/>
        <w:bookmarkEnd w:id="3"/>
      </w:tr>
      <w:tr w:rsidR="00EC4251" w:rsidRPr="00FC778F" w14:paraId="202E0092" w14:textId="77777777" w:rsidTr="009D58C1">
        <w:tc>
          <w:tcPr>
            <w:tcW w:w="1075" w:type="dxa"/>
          </w:tcPr>
          <w:p w14:paraId="58A9F0ED" w14:textId="77777777" w:rsidR="00EC4251" w:rsidRPr="00FC778F" w:rsidRDefault="00EC4251" w:rsidP="008C4C0D">
            <w:pPr>
              <w:spacing w:after="160"/>
            </w:pPr>
            <w:r w:rsidRPr="00FC778F">
              <w:t>18-26</w:t>
            </w:r>
          </w:p>
        </w:tc>
        <w:tc>
          <w:tcPr>
            <w:tcW w:w="1017" w:type="dxa"/>
          </w:tcPr>
          <w:p w14:paraId="0A8CAB3D" w14:textId="77777777" w:rsidR="00EC4251" w:rsidRPr="00FC778F" w:rsidRDefault="00EC4251" w:rsidP="008C4C0D">
            <w:pPr>
              <w:spacing w:after="160"/>
            </w:pPr>
            <w:r w:rsidRPr="00FC778F">
              <w:t>7/13/18</w:t>
            </w:r>
          </w:p>
        </w:tc>
        <w:tc>
          <w:tcPr>
            <w:tcW w:w="3933" w:type="dxa"/>
          </w:tcPr>
          <w:p w14:paraId="5191EF4B" w14:textId="77777777" w:rsidR="00EC4251" w:rsidRPr="00FC778F" w:rsidRDefault="00EC4251" w:rsidP="008C4C0D">
            <w:pPr>
              <w:spacing w:after="160"/>
            </w:pPr>
            <w:r w:rsidRPr="00FC778F">
              <w:t xml:space="preserve">FPDS Product Maintenance </w:t>
            </w:r>
          </w:p>
        </w:tc>
        <w:tc>
          <w:tcPr>
            <w:tcW w:w="4590" w:type="dxa"/>
          </w:tcPr>
          <w:p w14:paraId="6695E98F" w14:textId="77777777" w:rsidR="00EC4251" w:rsidRPr="00FC778F" w:rsidRDefault="00EC4251" w:rsidP="008C4C0D">
            <w:pPr>
              <w:spacing w:after="160"/>
            </w:pPr>
            <w:r w:rsidRPr="00FC778F">
              <w:t xml:space="preserve">The FPDS team will be conducting maintenance activities to increase data performance. </w:t>
            </w:r>
          </w:p>
        </w:tc>
      </w:tr>
      <w:tr w:rsidR="00EC4251" w:rsidRPr="00FC778F" w14:paraId="46858350" w14:textId="77777777" w:rsidTr="009D58C1">
        <w:trPr>
          <w:trHeight w:val="1074"/>
        </w:trPr>
        <w:tc>
          <w:tcPr>
            <w:tcW w:w="1075" w:type="dxa"/>
          </w:tcPr>
          <w:p w14:paraId="1FD8B0EA" w14:textId="77777777" w:rsidR="00EC4251" w:rsidRPr="00FC778F" w:rsidRDefault="00EC4251" w:rsidP="008C4C0D">
            <w:pPr>
              <w:spacing w:after="160"/>
            </w:pPr>
            <w:r w:rsidRPr="00FC778F">
              <w:lastRenderedPageBreak/>
              <w:t>18-27</w:t>
            </w:r>
          </w:p>
        </w:tc>
        <w:tc>
          <w:tcPr>
            <w:tcW w:w="1017" w:type="dxa"/>
          </w:tcPr>
          <w:p w14:paraId="5707CC9C" w14:textId="77777777" w:rsidR="00EC4251" w:rsidRPr="00FC778F" w:rsidRDefault="00EC4251" w:rsidP="008C4C0D">
            <w:pPr>
              <w:spacing w:after="160"/>
            </w:pPr>
            <w:r w:rsidRPr="00FC778F">
              <w:t>7/13/18</w:t>
            </w:r>
          </w:p>
        </w:tc>
        <w:tc>
          <w:tcPr>
            <w:tcW w:w="3933" w:type="dxa"/>
          </w:tcPr>
          <w:p w14:paraId="61416113" w14:textId="77777777" w:rsidR="00EC4251" w:rsidRPr="00FC778F" w:rsidRDefault="00EC4251" w:rsidP="008C4C0D">
            <w:pPr>
              <w:spacing w:after="160"/>
            </w:pPr>
            <w:r w:rsidRPr="00FC778F">
              <w:t>Micro-Purchase Threshold and Simplified Acquisition Threshold (MPT/SAT) Implementation</w:t>
            </w:r>
          </w:p>
        </w:tc>
        <w:tc>
          <w:tcPr>
            <w:tcW w:w="4590" w:type="dxa"/>
          </w:tcPr>
          <w:p w14:paraId="2435FF07" w14:textId="77777777" w:rsidR="00EC4251" w:rsidRPr="00FC778F" w:rsidRDefault="00EC4251" w:rsidP="008C4C0D">
            <w:pPr>
              <w:spacing w:after="160"/>
            </w:pPr>
            <w:r w:rsidRPr="00FC778F">
              <w:t>Information on the increase of the Micro-Purchase Threshold and the Simplified Acquisition Threshold</w:t>
            </w:r>
          </w:p>
        </w:tc>
      </w:tr>
      <w:tr w:rsidR="00EC4251" w:rsidRPr="00FC778F" w14:paraId="1220F150" w14:textId="77777777" w:rsidTr="009D58C1">
        <w:tc>
          <w:tcPr>
            <w:tcW w:w="1075" w:type="dxa"/>
          </w:tcPr>
          <w:p w14:paraId="0B0B70C1" w14:textId="77777777" w:rsidR="00EC4251" w:rsidRPr="00FC778F" w:rsidRDefault="00EC4251" w:rsidP="008C4C0D">
            <w:pPr>
              <w:spacing w:after="160"/>
            </w:pPr>
            <w:r w:rsidRPr="00FC778F">
              <w:t>18-28</w:t>
            </w:r>
          </w:p>
        </w:tc>
        <w:tc>
          <w:tcPr>
            <w:tcW w:w="1017" w:type="dxa"/>
          </w:tcPr>
          <w:p w14:paraId="50F143AD" w14:textId="77777777" w:rsidR="00EC4251" w:rsidRPr="00FC778F" w:rsidRDefault="00EC4251" w:rsidP="008C4C0D">
            <w:pPr>
              <w:spacing w:after="160"/>
            </w:pPr>
            <w:r w:rsidRPr="00FC778F">
              <w:t>7/1718</w:t>
            </w:r>
          </w:p>
        </w:tc>
        <w:tc>
          <w:tcPr>
            <w:tcW w:w="3933" w:type="dxa"/>
          </w:tcPr>
          <w:p w14:paraId="52BE1A17" w14:textId="77777777" w:rsidR="00EC4251" w:rsidRPr="00FC778F" w:rsidRDefault="00EC4251" w:rsidP="008C4C0D">
            <w:pPr>
              <w:spacing w:after="160"/>
            </w:pPr>
            <w:r w:rsidRPr="00FC778F">
              <w:t>SAM Registration Backlog</w:t>
            </w:r>
          </w:p>
        </w:tc>
        <w:tc>
          <w:tcPr>
            <w:tcW w:w="4590" w:type="dxa"/>
          </w:tcPr>
          <w:p w14:paraId="61FBC0D1" w14:textId="77777777" w:rsidR="00EC4251" w:rsidRPr="00FC778F" w:rsidRDefault="00EC4251" w:rsidP="008C4C0D">
            <w:pPr>
              <w:spacing w:after="160"/>
            </w:pPr>
            <w:r w:rsidRPr="00FC778F">
              <w:t>Notice of SAM Registration Backlog Cleared</w:t>
            </w:r>
          </w:p>
        </w:tc>
      </w:tr>
    </w:tbl>
    <w:p w14:paraId="510EE72B" w14:textId="77777777" w:rsidR="00EC4251" w:rsidRDefault="00EC4251" w:rsidP="00C0583B">
      <w:pPr>
        <w:pStyle w:val="Heading1"/>
        <w:spacing w:before="0"/>
        <w:contextualSpacing w:val="0"/>
        <w:rPr>
          <w:rFonts w:eastAsia="Arial" w:cs="Arial"/>
          <w:spacing w:val="-5"/>
          <w:szCs w:val="32"/>
        </w:rPr>
      </w:pPr>
    </w:p>
    <w:p w14:paraId="23FB65E2" w14:textId="5F9E256E" w:rsidR="004D1137" w:rsidRPr="00C0583B" w:rsidRDefault="00CA50DB" w:rsidP="00C0583B">
      <w:pPr>
        <w:pStyle w:val="Heading1"/>
        <w:spacing w:before="0"/>
        <w:contextualSpacing w:val="0"/>
        <w:rPr>
          <w:rFonts w:eastAsia="Arial" w:cs="Arial"/>
          <w:spacing w:val="-5"/>
          <w:szCs w:val="32"/>
        </w:rPr>
      </w:pPr>
      <w:r>
        <w:rPr>
          <w:rFonts w:eastAsia="Arial" w:cs="Arial"/>
          <w:spacing w:val="-5"/>
          <w:szCs w:val="32"/>
        </w:rPr>
        <w:t xml:space="preserve">Acquisition </w:t>
      </w:r>
      <w:r w:rsidR="000E0F31">
        <w:rPr>
          <w:rFonts w:eastAsia="Arial" w:cs="Arial"/>
          <w:spacing w:val="-5"/>
          <w:szCs w:val="32"/>
        </w:rPr>
        <w:t>T</w:t>
      </w:r>
      <w:r w:rsidR="000E0F31" w:rsidRPr="004C4D13">
        <w:rPr>
          <w:rFonts w:eastAsia="Arial" w:cs="Arial"/>
          <w:spacing w:val="-5"/>
          <w:szCs w:val="32"/>
        </w:rPr>
        <w:t>raining Information</w:t>
      </w:r>
    </w:p>
    <w:p w14:paraId="7E806245" w14:textId="77777777" w:rsidR="005773E4" w:rsidRDefault="005773E4" w:rsidP="00C0583B">
      <w:pPr>
        <w:pStyle w:val="Heading2"/>
        <w:spacing w:before="0" w:line="240" w:lineRule="auto"/>
        <w:rPr>
          <w:rStyle w:val="Strong"/>
          <w:rFonts w:ascii="Arial" w:hAnsi="Arial" w:cs="Arial"/>
          <w:color w:val="000000" w:themeColor="text1"/>
          <w:sz w:val="28"/>
          <w:szCs w:val="28"/>
        </w:rPr>
      </w:pPr>
    </w:p>
    <w:p w14:paraId="1E46E2BC" w14:textId="77777777" w:rsidR="004C4D13" w:rsidRPr="00C66CE4" w:rsidRDefault="004C4D13" w:rsidP="00C0583B">
      <w:pPr>
        <w:pStyle w:val="Heading2"/>
        <w:spacing w:before="0" w:line="240" w:lineRule="auto"/>
        <w:rPr>
          <w:rStyle w:val="Strong"/>
          <w:rFonts w:ascii="Arial" w:hAnsi="Arial" w:cs="Arial"/>
          <w:color w:val="000000" w:themeColor="text1"/>
          <w:sz w:val="28"/>
          <w:szCs w:val="28"/>
        </w:rPr>
      </w:pPr>
      <w:r w:rsidRPr="00C66CE4">
        <w:rPr>
          <w:rStyle w:val="Strong"/>
          <w:rFonts w:ascii="Arial" w:hAnsi="Arial" w:cs="Arial"/>
          <w:color w:val="000000" w:themeColor="text1"/>
          <w:sz w:val="28"/>
          <w:szCs w:val="28"/>
        </w:rPr>
        <w:t>Acquisition Training at NIH</w:t>
      </w:r>
    </w:p>
    <w:p w14:paraId="20750EE8" w14:textId="77777777" w:rsidR="00225194" w:rsidRPr="00C0583B" w:rsidRDefault="004C4D13" w:rsidP="00C0583B">
      <w:pPr>
        <w:spacing w:after="120" w:line="240" w:lineRule="auto"/>
        <w:rPr>
          <w:rFonts w:eastAsia="Calibri" w:cs="Arial"/>
          <w:color w:val="0000FF"/>
          <w:spacing w:val="-1"/>
          <w:szCs w:val="24"/>
          <w:u w:val="single" w:color="0000FF"/>
        </w:rPr>
      </w:pPr>
      <w:r w:rsidRPr="004467E3">
        <w:rPr>
          <w:rFonts w:eastAsia="Calibri" w:cs="Arial"/>
          <w:spacing w:val="1"/>
          <w:szCs w:val="24"/>
        </w:rPr>
        <w:t>A</w:t>
      </w:r>
      <w:r w:rsidRPr="004467E3">
        <w:rPr>
          <w:rFonts w:eastAsia="Calibri" w:cs="Arial"/>
          <w:szCs w:val="24"/>
        </w:rPr>
        <w:t>c</w:t>
      </w:r>
      <w:r w:rsidRPr="004467E3">
        <w:rPr>
          <w:rFonts w:eastAsia="Calibri" w:cs="Arial"/>
          <w:spacing w:val="-1"/>
          <w:szCs w:val="24"/>
        </w:rPr>
        <w:t>q</w:t>
      </w:r>
      <w:r w:rsidRPr="004467E3">
        <w:rPr>
          <w:rFonts w:eastAsia="Calibri" w:cs="Arial"/>
          <w:spacing w:val="1"/>
          <w:szCs w:val="24"/>
        </w:rPr>
        <w:t>u</w:t>
      </w:r>
      <w:r w:rsidRPr="004467E3">
        <w:rPr>
          <w:rFonts w:eastAsia="Calibri" w:cs="Arial"/>
          <w:spacing w:val="-1"/>
          <w:szCs w:val="24"/>
        </w:rPr>
        <w:t>i</w:t>
      </w:r>
      <w:r w:rsidRPr="004467E3">
        <w:rPr>
          <w:rFonts w:eastAsia="Calibri" w:cs="Arial"/>
          <w:szCs w:val="24"/>
        </w:rPr>
        <w:t>s</w:t>
      </w:r>
      <w:r w:rsidRPr="004467E3">
        <w:rPr>
          <w:rFonts w:eastAsia="Calibri" w:cs="Arial"/>
          <w:spacing w:val="-1"/>
          <w:szCs w:val="24"/>
        </w:rPr>
        <w:t>i</w:t>
      </w:r>
      <w:r w:rsidRPr="004467E3">
        <w:rPr>
          <w:rFonts w:eastAsia="Calibri" w:cs="Arial"/>
          <w:spacing w:val="1"/>
          <w:szCs w:val="24"/>
        </w:rPr>
        <w:t>t</w:t>
      </w:r>
      <w:r w:rsidRPr="004467E3">
        <w:rPr>
          <w:rFonts w:eastAsia="Calibri" w:cs="Arial"/>
          <w:spacing w:val="-1"/>
          <w:szCs w:val="24"/>
        </w:rPr>
        <w:t>i</w:t>
      </w:r>
      <w:r w:rsidRPr="004467E3">
        <w:rPr>
          <w:rFonts w:eastAsia="Calibri" w:cs="Arial"/>
          <w:spacing w:val="1"/>
          <w:szCs w:val="24"/>
        </w:rPr>
        <w:t>o</w:t>
      </w:r>
      <w:r w:rsidRPr="004467E3">
        <w:rPr>
          <w:rFonts w:eastAsia="Calibri" w:cs="Arial"/>
          <w:szCs w:val="24"/>
        </w:rPr>
        <w:t>n</w:t>
      </w:r>
      <w:r w:rsidRPr="004467E3">
        <w:rPr>
          <w:rFonts w:eastAsia="Calibri" w:cs="Arial"/>
          <w:spacing w:val="2"/>
          <w:szCs w:val="24"/>
        </w:rPr>
        <w:t xml:space="preserve"> T</w:t>
      </w:r>
      <w:r w:rsidRPr="004467E3">
        <w:rPr>
          <w:rFonts w:eastAsia="Calibri" w:cs="Arial"/>
          <w:spacing w:val="-3"/>
          <w:szCs w:val="24"/>
        </w:rPr>
        <w:t>r</w:t>
      </w:r>
      <w:r w:rsidRPr="004467E3">
        <w:rPr>
          <w:rFonts w:eastAsia="Calibri" w:cs="Arial"/>
          <w:spacing w:val="1"/>
          <w:szCs w:val="24"/>
        </w:rPr>
        <w:t>a</w:t>
      </w:r>
      <w:r w:rsidRPr="004467E3">
        <w:rPr>
          <w:rFonts w:eastAsia="Calibri" w:cs="Arial"/>
          <w:spacing w:val="-1"/>
          <w:szCs w:val="24"/>
        </w:rPr>
        <w:t>i</w:t>
      </w:r>
      <w:r w:rsidRPr="004467E3">
        <w:rPr>
          <w:rFonts w:eastAsia="Calibri" w:cs="Arial"/>
          <w:spacing w:val="1"/>
          <w:szCs w:val="24"/>
        </w:rPr>
        <w:t>n</w:t>
      </w:r>
      <w:r w:rsidRPr="004467E3">
        <w:rPr>
          <w:rFonts w:eastAsia="Calibri" w:cs="Arial"/>
          <w:spacing w:val="-1"/>
          <w:szCs w:val="24"/>
        </w:rPr>
        <w:t>i</w:t>
      </w:r>
      <w:r w:rsidRPr="004467E3">
        <w:rPr>
          <w:rFonts w:eastAsia="Calibri" w:cs="Arial"/>
          <w:spacing w:val="1"/>
          <w:szCs w:val="24"/>
        </w:rPr>
        <w:t>n</w:t>
      </w:r>
      <w:r w:rsidRPr="004467E3">
        <w:rPr>
          <w:rFonts w:eastAsia="Calibri" w:cs="Arial"/>
          <w:szCs w:val="24"/>
        </w:rPr>
        <w:t>g</w:t>
      </w:r>
      <w:r w:rsidRPr="004467E3">
        <w:rPr>
          <w:rFonts w:eastAsia="Calibri" w:cs="Arial"/>
          <w:spacing w:val="-1"/>
          <w:szCs w:val="24"/>
        </w:rPr>
        <w:t xml:space="preserve"> Cl</w:t>
      </w:r>
      <w:r w:rsidRPr="004467E3">
        <w:rPr>
          <w:rFonts w:eastAsia="Calibri" w:cs="Arial"/>
          <w:spacing w:val="1"/>
          <w:szCs w:val="24"/>
        </w:rPr>
        <w:t>a</w:t>
      </w:r>
      <w:r w:rsidRPr="004467E3">
        <w:rPr>
          <w:rFonts w:eastAsia="Calibri" w:cs="Arial"/>
          <w:szCs w:val="24"/>
        </w:rPr>
        <w:t>ss</w:t>
      </w:r>
      <w:r w:rsidRPr="004467E3">
        <w:rPr>
          <w:rFonts w:eastAsia="Calibri" w:cs="Arial"/>
          <w:spacing w:val="1"/>
          <w:szCs w:val="24"/>
        </w:rPr>
        <w:t>e</w:t>
      </w:r>
      <w:r w:rsidRPr="004467E3">
        <w:rPr>
          <w:rFonts w:eastAsia="Calibri" w:cs="Arial"/>
          <w:szCs w:val="24"/>
        </w:rPr>
        <w:t>s</w:t>
      </w:r>
      <w:r w:rsidRPr="004467E3">
        <w:rPr>
          <w:rFonts w:eastAsia="Calibri" w:cs="Arial"/>
          <w:spacing w:val="1"/>
          <w:szCs w:val="24"/>
        </w:rPr>
        <w:t xml:space="preserve"> that are offered by the NIH Training Center </w:t>
      </w:r>
      <w:r w:rsidRPr="004467E3">
        <w:rPr>
          <w:rFonts w:eastAsia="Calibri" w:cs="Arial"/>
          <w:szCs w:val="24"/>
        </w:rPr>
        <w:t>can</w:t>
      </w:r>
      <w:r w:rsidRPr="004467E3">
        <w:rPr>
          <w:rFonts w:eastAsia="Calibri" w:cs="Arial"/>
          <w:spacing w:val="2"/>
          <w:szCs w:val="24"/>
        </w:rPr>
        <w:t xml:space="preserve"> </w:t>
      </w:r>
      <w:r w:rsidRPr="004467E3">
        <w:rPr>
          <w:rFonts w:eastAsia="Calibri" w:cs="Arial"/>
          <w:spacing w:val="-1"/>
          <w:szCs w:val="24"/>
        </w:rPr>
        <w:t>b</w:t>
      </w:r>
      <w:r w:rsidRPr="004467E3">
        <w:rPr>
          <w:rFonts w:eastAsia="Calibri" w:cs="Arial"/>
          <w:szCs w:val="24"/>
        </w:rPr>
        <w:t>e</w:t>
      </w:r>
      <w:r w:rsidRPr="004467E3">
        <w:rPr>
          <w:rFonts w:eastAsia="Calibri" w:cs="Arial"/>
          <w:spacing w:val="2"/>
          <w:szCs w:val="24"/>
        </w:rPr>
        <w:t xml:space="preserve"> </w:t>
      </w:r>
      <w:r w:rsidRPr="004467E3">
        <w:rPr>
          <w:rFonts w:eastAsia="Calibri" w:cs="Arial"/>
          <w:spacing w:val="1"/>
          <w:szCs w:val="24"/>
        </w:rPr>
        <w:t>a</w:t>
      </w:r>
      <w:r w:rsidRPr="004467E3">
        <w:rPr>
          <w:rFonts w:eastAsia="Calibri" w:cs="Arial"/>
          <w:szCs w:val="24"/>
        </w:rPr>
        <w:t>c</w:t>
      </w:r>
      <w:r w:rsidRPr="004467E3">
        <w:rPr>
          <w:rFonts w:eastAsia="Calibri" w:cs="Arial"/>
          <w:spacing w:val="-2"/>
          <w:szCs w:val="24"/>
        </w:rPr>
        <w:t>c</w:t>
      </w:r>
      <w:r w:rsidRPr="004467E3">
        <w:rPr>
          <w:rFonts w:eastAsia="Calibri" w:cs="Arial"/>
          <w:spacing w:val="1"/>
          <w:szCs w:val="24"/>
        </w:rPr>
        <w:t>e</w:t>
      </w:r>
      <w:r w:rsidRPr="004467E3">
        <w:rPr>
          <w:rFonts w:eastAsia="Calibri" w:cs="Arial"/>
          <w:szCs w:val="24"/>
        </w:rPr>
        <w:t>ss</w:t>
      </w:r>
      <w:r w:rsidRPr="004467E3">
        <w:rPr>
          <w:rFonts w:eastAsia="Calibri" w:cs="Arial"/>
          <w:spacing w:val="-1"/>
          <w:szCs w:val="24"/>
        </w:rPr>
        <w:t>e</w:t>
      </w:r>
      <w:r w:rsidRPr="004467E3">
        <w:rPr>
          <w:rFonts w:eastAsia="Calibri" w:cs="Arial"/>
          <w:szCs w:val="24"/>
        </w:rPr>
        <w:t>d</w:t>
      </w:r>
      <w:r w:rsidRPr="004467E3">
        <w:rPr>
          <w:rFonts w:eastAsia="Calibri" w:cs="Arial"/>
          <w:spacing w:val="2"/>
          <w:szCs w:val="24"/>
        </w:rPr>
        <w:t xml:space="preserve"> </w:t>
      </w:r>
      <w:r w:rsidRPr="004467E3">
        <w:rPr>
          <w:rFonts w:eastAsia="Calibri" w:cs="Arial"/>
          <w:spacing w:val="1"/>
          <w:szCs w:val="24"/>
        </w:rPr>
        <w:t>a</w:t>
      </w:r>
      <w:r w:rsidRPr="004467E3">
        <w:rPr>
          <w:rFonts w:eastAsia="Calibri" w:cs="Arial"/>
          <w:szCs w:val="24"/>
        </w:rPr>
        <w:t>t</w:t>
      </w:r>
      <w:r w:rsidRPr="004467E3">
        <w:rPr>
          <w:rFonts w:eastAsia="Calibri" w:cs="Arial"/>
          <w:spacing w:val="-1"/>
          <w:szCs w:val="24"/>
        </w:rPr>
        <w:t xml:space="preserve"> </w:t>
      </w:r>
      <w:r w:rsidRPr="004467E3">
        <w:rPr>
          <w:rFonts w:eastAsia="Calibri" w:cs="Arial"/>
          <w:spacing w:val="1"/>
          <w:szCs w:val="24"/>
        </w:rPr>
        <w:t>th</w:t>
      </w:r>
      <w:r w:rsidRPr="004467E3">
        <w:rPr>
          <w:rFonts w:eastAsia="Calibri" w:cs="Arial"/>
          <w:szCs w:val="24"/>
        </w:rPr>
        <w:t>e</w:t>
      </w:r>
      <w:r w:rsidRPr="004467E3">
        <w:rPr>
          <w:rFonts w:eastAsia="Calibri" w:cs="Arial"/>
          <w:spacing w:val="-3"/>
          <w:szCs w:val="24"/>
        </w:rPr>
        <w:t xml:space="preserve"> </w:t>
      </w:r>
      <w:r w:rsidRPr="004467E3">
        <w:rPr>
          <w:rFonts w:eastAsia="Calibri" w:cs="Arial"/>
          <w:spacing w:val="3"/>
          <w:szCs w:val="24"/>
        </w:rPr>
        <w:t>f</w:t>
      </w:r>
      <w:r w:rsidRPr="004467E3">
        <w:rPr>
          <w:rFonts w:eastAsia="Calibri" w:cs="Arial"/>
          <w:spacing w:val="1"/>
          <w:szCs w:val="24"/>
        </w:rPr>
        <w:t>o</w:t>
      </w:r>
      <w:r w:rsidRPr="004467E3">
        <w:rPr>
          <w:rFonts w:eastAsia="Calibri" w:cs="Arial"/>
          <w:spacing w:val="-1"/>
          <w:szCs w:val="24"/>
        </w:rPr>
        <w:t>ll</w:t>
      </w:r>
      <w:r w:rsidRPr="004467E3">
        <w:rPr>
          <w:rFonts w:eastAsia="Calibri" w:cs="Arial"/>
          <w:spacing w:val="1"/>
          <w:szCs w:val="24"/>
        </w:rPr>
        <w:t>o</w:t>
      </w:r>
      <w:r w:rsidRPr="004467E3">
        <w:rPr>
          <w:rFonts w:eastAsia="Calibri" w:cs="Arial"/>
          <w:spacing w:val="-3"/>
          <w:szCs w:val="24"/>
        </w:rPr>
        <w:t>w</w:t>
      </w:r>
      <w:r w:rsidRPr="004467E3">
        <w:rPr>
          <w:rFonts w:eastAsia="Calibri" w:cs="Arial"/>
          <w:spacing w:val="-1"/>
          <w:szCs w:val="24"/>
        </w:rPr>
        <w:t>i</w:t>
      </w:r>
      <w:r w:rsidRPr="004467E3">
        <w:rPr>
          <w:rFonts w:eastAsia="Calibri" w:cs="Arial"/>
          <w:spacing w:val="1"/>
          <w:szCs w:val="24"/>
        </w:rPr>
        <w:t xml:space="preserve">ng </w:t>
      </w:r>
      <w:r w:rsidRPr="004467E3">
        <w:rPr>
          <w:rFonts w:eastAsia="Calibri" w:cs="Arial"/>
          <w:szCs w:val="24"/>
        </w:rPr>
        <w:t>li</w:t>
      </w:r>
      <w:r w:rsidRPr="004467E3">
        <w:rPr>
          <w:rFonts w:eastAsia="Calibri" w:cs="Arial"/>
          <w:spacing w:val="1"/>
          <w:szCs w:val="24"/>
        </w:rPr>
        <w:t>n</w:t>
      </w:r>
      <w:r w:rsidRPr="004467E3">
        <w:rPr>
          <w:rFonts w:eastAsia="Calibri" w:cs="Arial"/>
          <w:szCs w:val="24"/>
        </w:rPr>
        <w:t>k</w:t>
      </w:r>
      <w:r w:rsidRPr="00A11350">
        <w:rPr>
          <w:rFonts w:eastAsia="Calibri" w:cs="Arial"/>
          <w:szCs w:val="24"/>
        </w:rPr>
        <w:t xml:space="preserve">: </w:t>
      </w:r>
      <w:r w:rsidRPr="00A11350">
        <w:rPr>
          <w:rFonts w:eastAsia="Calibri" w:cs="Arial"/>
          <w:color w:val="0000FF"/>
          <w:spacing w:val="-65"/>
          <w:szCs w:val="24"/>
        </w:rPr>
        <w:t xml:space="preserve"> </w:t>
      </w:r>
      <w:hyperlink r:id="rId37" w:tooltip="Acquisition Management Training" w:history="1">
        <w:r w:rsidR="009537CC" w:rsidRPr="00A11350">
          <w:rPr>
            <w:rStyle w:val="Hyperlink"/>
            <w:rFonts w:eastAsia="Calibri" w:cs="Arial"/>
            <w:spacing w:val="-1"/>
            <w:szCs w:val="24"/>
          </w:rPr>
          <w:t>Acquisition Management Training</w:t>
        </w:r>
      </w:hyperlink>
    </w:p>
    <w:p w14:paraId="45C98E22" w14:textId="77777777" w:rsidR="004C4D13" w:rsidRPr="00C66CE4" w:rsidRDefault="004C4D13" w:rsidP="00C0583B">
      <w:pPr>
        <w:pStyle w:val="Heading2"/>
        <w:spacing w:before="0" w:line="240" w:lineRule="auto"/>
        <w:rPr>
          <w:rStyle w:val="Strong"/>
          <w:rFonts w:ascii="Arial" w:hAnsi="Arial" w:cs="Arial"/>
          <w:color w:val="000000" w:themeColor="text1"/>
          <w:sz w:val="28"/>
          <w:szCs w:val="28"/>
        </w:rPr>
      </w:pPr>
      <w:r w:rsidRPr="00C66CE4">
        <w:rPr>
          <w:rStyle w:val="Strong"/>
          <w:rFonts w:ascii="Arial" w:hAnsi="Arial" w:cs="Arial"/>
          <w:color w:val="000000" w:themeColor="text1"/>
          <w:sz w:val="28"/>
          <w:szCs w:val="28"/>
        </w:rPr>
        <w:t>Federal Acquisition Certification Coursework</w:t>
      </w:r>
    </w:p>
    <w:p w14:paraId="605E7C80" w14:textId="77777777" w:rsidR="001E18F0" w:rsidRPr="00C0583B" w:rsidRDefault="004C4D13" w:rsidP="00C0583B">
      <w:pPr>
        <w:spacing w:after="120" w:line="240" w:lineRule="auto"/>
        <w:rPr>
          <w:rFonts w:cs="Arial"/>
          <w:szCs w:val="24"/>
        </w:rPr>
      </w:pPr>
      <w:r w:rsidRPr="004467E3">
        <w:rPr>
          <w:rFonts w:cs="Arial"/>
          <w:szCs w:val="24"/>
        </w:rPr>
        <w:t xml:space="preserve">CON courses and other Federal Acquisition Certification required courses can be found at the </w:t>
      </w:r>
      <w:hyperlink r:id="rId38" w:tooltip="NIH Training Center" w:history="1">
        <w:r w:rsidRPr="004467E3">
          <w:rPr>
            <w:rStyle w:val="Hyperlink"/>
            <w:rFonts w:cs="Arial"/>
            <w:szCs w:val="24"/>
          </w:rPr>
          <w:t>NIH Training Center</w:t>
        </w:r>
      </w:hyperlink>
      <w:r w:rsidRPr="004467E3">
        <w:rPr>
          <w:rFonts w:cs="Arial"/>
          <w:szCs w:val="24"/>
        </w:rPr>
        <w:t xml:space="preserve">, </w:t>
      </w:r>
      <w:hyperlink r:id="rId39" w:tooltip="Federal Acquisition Institute" w:history="1">
        <w:r w:rsidRPr="004467E3">
          <w:rPr>
            <w:rStyle w:val="Hyperlink"/>
            <w:rFonts w:cs="Arial"/>
            <w:szCs w:val="24"/>
          </w:rPr>
          <w:t>Federal Acquisition Institute</w:t>
        </w:r>
      </w:hyperlink>
      <w:r w:rsidRPr="004467E3">
        <w:rPr>
          <w:rFonts w:cs="Arial"/>
          <w:szCs w:val="24"/>
        </w:rPr>
        <w:t xml:space="preserve">, and </w:t>
      </w:r>
      <w:hyperlink r:id="rId40" w:tooltip="Defense Acquisition University" w:history="1">
        <w:r w:rsidRPr="004467E3">
          <w:rPr>
            <w:rStyle w:val="Hyperlink"/>
            <w:rFonts w:cs="Arial"/>
            <w:szCs w:val="24"/>
          </w:rPr>
          <w:t>Defense Acquisition University</w:t>
        </w:r>
      </w:hyperlink>
      <w:r w:rsidRPr="004467E3">
        <w:rPr>
          <w:rFonts w:cs="Arial"/>
          <w:szCs w:val="24"/>
        </w:rPr>
        <w:t>.</w:t>
      </w:r>
    </w:p>
    <w:p w14:paraId="23DB25A6" w14:textId="77777777" w:rsidR="004C4D13" w:rsidRPr="00C66CE4" w:rsidRDefault="004C4D13" w:rsidP="00C0583B">
      <w:pPr>
        <w:spacing w:line="240" w:lineRule="auto"/>
        <w:contextualSpacing/>
        <w:rPr>
          <w:rStyle w:val="Strong"/>
          <w:rFonts w:cs="Arial"/>
          <w:sz w:val="28"/>
          <w:szCs w:val="28"/>
        </w:rPr>
      </w:pPr>
      <w:r w:rsidRPr="00C66CE4">
        <w:rPr>
          <w:rStyle w:val="Strong"/>
          <w:rFonts w:cs="Arial"/>
          <w:sz w:val="28"/>
          <w:szCs w:val="28"/>
        </w:rPr>
        <w:t>Section 508 Accessibility Training</w:t>
      </w:r>
    </w:p>
    <w:p w14:paraId="29402168" w14:textId="77777777" w:rsidR="00C66CE4" w:rsidRPr="004467E3" w:rsidRDefault="004C4D13" w:rsidP="00C0583B">
      <w:pPr>
        <w:spacing w:after="120" w:line="240" w:lineRule="auto"/>
        <w:rPr>
          <w:rFonts w:cs="Arial"/>
          <w:szCs w:val="24"/>
        </w:rPr>
      </w:pPr>
      <w:r w:rsidRPr="004467E3">
        <w:rPr>
          <w:rFonts w:cs="Arial"/>
          <w:szCs w:val="24"/>
        </w:rPr>
        <w:t>Section 508 Accessibility Training courses can be accessed at</w:t>
      </w:r>
      <w:bookmarkStart w:id="4" w:name="_Hlk419199521"/>
      <w:r w:rsidRPr="004467E3">
        <w:rPr>
          <w:rFonts w:cs="Arial"/>
          <w:szCs w:val="24"/>
        </w:rPr>
        <w:t xml:space="preserve">: </w:t>
      </w:r>
      <w:hyperlink r:id="rId41" w:tooltip="CIT 508 Training Webpage" w:history="1">
        <w:bookmarkEnd w:id="4"/>
        <w:r w:rsidR="004D1137">
          <w:rPr>
            <w:rStyle w:val="Hyperlink"/>
            <w:rFonts w:cs="Arial"/>
            <w:szCs w:val="24"/>
          </w:rPr>
          <w:t>CIT Section 508 Accessibility Training Website</w:t>
        </w:r>
      </w:hyperlink>
      <w:r w:rsidRPr="004467E3">
        <w:rPr>
          <w:rFonts w:cs="Arial"/>
          <w:szCs w:val="24"/>
        </w:rPr>
        <w:t>.</w:t>
      </w:r>
    </w:p>
    <w:p w14:paraId="1C4E4CEE" w14:textId="77777777" w:rsidR="004C4D13" w:rsidRPr="00C66CE4" w:rsidRDefault="004C4D13" w:rsidP="00C0583B">
      <w:pPr>
        <w:pStyle w:val="Heading2"/>
        <w:spacing w:before="0" w:line="240" w:lineRule="auto"/>
        <w:rPr>
          <w:rStyle w:val="Strong"/>
          <w:rFonts w:ascii="Arial" w:hAnsi="Arial" w:cs="Arial"/>
          <w:color w:val="000000" w:themeColor="text1"/>
          <w:sz w:val="28"/>
          <w:szCs w:val="28"/>
        </w:rPr>
      </w:pPr>
      <w:r w:rsidRPr="00C66CE4">
        <w:rPr>
          <w:rStyle w:val="Strong"/>
          <w:rFonts w:ascii="Arial" w:hAnsi="Arial" w:cs="Arial"/>
          <w:color w:val="000000" w:themeColor="text1"/>
          <w:sz w:val="28"/>
          <w:szCs w:val="28"/>
        </w:rPr>
        <w:t>Green Purchasing Training</w:t>
      </w:r>
    </w:p>
    <w:p w14:paraId="02E9F824" w14:textId="77777777" w:rsidR="004C4D13" w:rsidRDefault="004C4D13" w:rsidP="00C0583B">
      <w:pPr>
        <w:spacing w:line="240" w:lineRule="auto"/>
        <w:rPr>
          <w:rFonts w:eastAsia="Calibri" w:cs="Arial"/>
          <w:color w:val="000000" w:themeColor="text1"/>
          <w:szCs w:val="24"/>
        </w:rPr>
      </w:pPr>
      <w:r w:rsidRPr="004467E3">
        <w:rPr>
          <w:rFonts w:eastAsia="Calibri" w:cs="Arial"/>
          <w:color w:val="000000" w:themeColor="text1"/>
          <w:szCs w:val="24"/>
        </w:rPr>
        <w:t xml:space="preserve">Green Purchasing Training and other Green Training courses can be found at: </w:t>
      </w:r>
      <w:hyperlink r:id="rId42" w:tooltip="OALM Green Purchasing Website" w:history="1">
        <w:r w:rsidRPr="004467E3">
          <w:rPr>
            <w:rStyle w:val="Hyperlink"/>
            <w:rFonts w:eastAsia="Calibri" w:cs="Arial"/>
            <w:szCs w:val="24"/>
          </w:rPr>
          <w:t>OALM Green Purchasing Website</w:t>
        </w:r>
      </w:hyperlink>
      <w:r w:rsidRPr="004467E3">
        <w:rPr>
          <w:rFonts w:eastAsia="Calibri" w:cs="Arial"/>
          <w:color w:val="000000" w:themeColor="text1"/>
          <w:szCs w:val="24"/>
        </w:rPr>
        <w:t>.</w:t>
      </w:r>
    </w:p>
    <w:p w14:paraId="64E140F6" w14:textId="77777777" w:rsidR="00C66CE4" w:rsidRPr="00222AC9" w:rsidRDefault="00C66CE4" w:rsidP="00C0583B">
      <w:pPr>
        <w:spacing w:line="240" w:lineRule="auto"/>
        <w:rPr>
          <w:rFonts w:eastAsia="Calibri" w:cs="Arial"/>
          <w:color w:val="000000" w:themeColor="text1"/>
          <w:szCs w:val="24"/>
        </w:rPr>
      </w:pPr>
    </w:p>
    <w:p w14:paraId="30860CF0" w14:textId="77777777" w:rsidR="004C4D13" w:rsidRDefault="004C4D13" w:rsidP="00C0583B">
      <w:pPr>
        <w:pStyle w:val="Heading1"/>
        <w:spacing w:before="0"/>
        <w:rPr>
          <w:rFonts w:cs="Arial"/>
          <w:color w:val="000000" w:themeColor="text1"/>
          <w:szCs w:val="32"/>
        </w:rPr>
      </w:pPr>
      <w:r w:rsidRPr="004C4D13">
        <w:rPr>
          <w:rFonts w:cs="Arial"/>
          <w:color w:val="000000" w:themeColor="text1"/>
          <w:szCs w:val="32"/>
        </w:rPr>
        <w:t>NIH Blanket Purchase Agreement (BPA) Lists Available Online</w:t>
      </w:r>
    </w:p>
    <w:p w14:paraId="21AB2F6D" w14:textId="77777777" w:rsidR="00C66CE4" w:rsidRDefault="00C66CE4" w:rsidP="00C0583B">
      <w:pPr>
        <w:spacing w:line="240" w:lineRule="auto"/>
        <w:rPr>
          <w:rFonts w:eastAsia="Calibri" w:cs="Arial"/>
          <w:szCs w:val="24"/>
        </w:rPr>
      </w:pPr>
    </w:p>
    <w:p w14:paraId="3F473314" w14:textId="77777777" w:rsidR="004E6C0D" w:rsidRPr="004467E3" w:rsidRDefault="004C4D13" w:rsidP="00C0583B">
      <w:pPr>
        <w:spacing w:after="120" w:line="240" w:lineRule="auto"/>
        <w:rPr>
          <w:rFonts w:eastAsia="Calibri" w:cs="Arial"/>
          <w:szCs w:val="24"/>
        </w:rPr>
      </w:pPr>
      <w:r w:rsidRPr="004467E3">
        <w:rPr>
          <w:rFonts w:eastAsia="Calibri" w:cs="Arial"/>
          <w:szCs w:val="24"/>
        </w:rPr>
        <w:t xml:space="preserve">Lists of all NIH Blanket Purchase Agreements (BPAs) can be found at the NIH Blanket Purchase Agreement </w:t>
      </w:r>
      <w:hyperlink r:id="rId43" w:tooltip="NIH Blanket Purchase Agreement webpage" w:history="1">
        <w:r w:rsidRPr="004467E3">
          <w:rPr>
            <w:rFonts w:eastAsia="Calibri" w:cs="Arial"/>
            <w:color w:val="0563C1" w:themeColor="hyperlink"/>
            <w:szCs w:val="24"/>
            <w:u w:val="single"/>
          </w:rPr>
          <w:t>webpage</w:t>
        </w:r>
      </w:hyperlink>
      <w:r w:rsidRPr="004467E3">
        <w:rPr>
          <w:rFonts w:eastAsia="Calibri" w:cs="Arial"/>
          <w:szCs w:val="24"/>
        </w:rPr>
        <w:t>.</w:t>
      </w:r>
    </w:p>
    <w:p w14:paraId="297F4EDF" w14:textId="77777777" w:rsidR="004E6C0D" w:rsidRPr="004467E3" w:rsidRDefault="004C4D13" w:rsidP="00C0583B">
      <w:pPr>
        <w:spacing w:after="120" w:line="240" w:lineRule="auto"/>
        <w:rPr>
          <w:rFonts w:eastAsia="Calibri" w:cs="Arial"/>
          <w:szCs w:val="24"/>
        </w:rPr>
      </w:pPr>
      <w:r w:rsidRPr="004467E3">
        <w:rPr>
          <w:rFonts w:eastAsia="Calibri" w:cs="Arial"/>
          <w:szCs w:val="24"/>
        </w:rPr>
        <w:t>This location contains Two BPA Lists:</w:t>
      </w:r>
    </w:p>
    <w:p w14:paraId="14019B3A" w14:textId="77777777" w:rsidR="004C4D13" w:rsidRPr="004467E3" w:rsidRDefault="004C4D13" w:rsidP="00C0583B">
      <w:pPr>
        <w:spacing w:line="240" w:lineRule="auto"/>
        <w:ind w:left="450"/>
        <w:rPr>
          <w:rFonts w:eastAsia="Calibri" w:cs="Arial"/>
          <w:szCs w:val="24"/>
        </w:rPr>
      </w:pPr>
      <w:r w:rsidRPr="004467E3">
        <w:rPr>
          <w:rFonts w:eastAsia="Calibri" w:cs="Arial"/>
          <w:szCs w:val="24"/>
        </w:rPr>
        <w:t>1.  Complete vendor alphabetical list;</w:t>
      </w:r>
    </w:p>
    <w:p w14:paraId="1CACCE39" w14:textId="77777777" w:rsidR="001E18F0" w:rsidRDefault="004C4D13" w:rsidP="00C0583B">
      <w:pPr>
        <w:spacing w:after="120" w:line="240" w:lineRule="auto"/>
        <w:ind w:left="446"/>
        <w:rPr>
          <w:rFonts w:eastAsia="Calibri" w:cs="Arial"/>
          <w:szCs w:val="24"/>
        </w:rPr>
      </w:pPr>
      <w:r w:rsidRPr="004467E3">
        <w:rPr>
          <w:rFonts w:eastAsia="Calibri" w:cs="Arial"/>
          <w:szCs w:val="24"/>
        </w:rPr>
        <w:t>2.  Vendor list sorted by commodity; and</w:t>
      </w:r>
    </w:p>
    <w:p w14:paraId="68E728B9" w14:textId="0259135A" w:rsidR="003D1D90" w:rsidRDefault="004C4D13" w:rsidP="003D1D90">
      <w:pPr>
        <w:spacing w:line="240" w:lineRule="auto"/>
        <w:rPr>
          <w:rFonts w:eastAsia="Calibri" w:cs="Arial"/>
          <w:szCs w:val="24"/>
        </w:rPr>
      </w:pPr>
      <w:r w:rsidRPr="004467E3">
        <w:rPr>
          <w:rFonts w:eastAsia="Calibri" w:cs="Arial"/>
          <w:szCs w:val="24"/>
        </w:rPr>
        <w:t xml:space="preserve">If you have any questions or need further clarification, please contact the BPA helpline at 301-496-5212 or </w:t>
      </w:r>
      <w:hyperlink r:id="rId44" w:tooltip="BPA Program Helpdesk email" w:history="1">
        <w:r w:rsidRPr="004467E3">
          <w:rPr>
            <w:rFonts w:eastAsia="Calibri" w:cs="Arial"/>
            <w:color w:val="0563C1" w:themeColor="hyperlink"/>
            <w:szCs w:val="24"/>
            <w:u w:val="single"/>
          </w:rPr>
          <w:t>email</w:t>
        </w:r>
      </w:hyperlink>
      <w:r w:rsidRPr="004467E3">
        <w:rPr>
          <w:rFonts w:eastAsia="Calibri" w:cs="Arial"/>
          <w:szCs w:val="24"/>
        </w:rPr>
        <w:t>.</w:t>
      </w:r>
    </w:p>
    <w:p w14:paraId="2E480903" w14:textId="77777777" w:rsidR="003D1D90" w:rsidRDefault="003D1D90">
      <w:pPr>
        <w:spacing w:after="160"/>
        <w:rPr>
          <w:rFonts w:eastAsia="Calibri" w:cs="Arial"/>
          <w:szCs w:val="24"/>
        </w:rPr>
      </w:pPr>
      <w:r>
        <w:rPr>
          <w:rFonts w:eastAsia="Calibri" w:cs="Arial"/>
          <w:szCs w:val="24"/>
        </w:rPr>
        <w:br w:type="page"/>
      </w:r>
    </w:p>
    <w:p w14:paraId="655B22DF" w14:textId="77777777" w:rsidR="00C801C6" w:rsidRPr="00A5768F" w:rsidRDefault="00C801C6" w:rsidP="00A5768F">
      <w:pPr>
        <w:pStyle w:val="Heading1"/>
        <w:contextualSpacing w:val="0"/>
      </w:pPr>
      <w:r w:rsidRPr="00A5768F">
        <w:lastRenderedPageBreak/>
        <w:t>THANKS!</w:t>
      </w:r>
    </w:p>
    <w:p w14:paraId="14BBB75C" w14:textId="77777777" w:rsidR="004467E3" w:rsidRPr="00C0583B" w:rsidRDefault="00C801C6" w:rsidP="00C0583B">
      <w:pPr>
        <w:spacing w:after="120" w:line="240" w:lineRule="auto"/>
        <w:rPr>
          <w:rFonts w:cs="Arial"/>
          <w:bCs/>
          <w:szCs w:val="24"/>
        </w:rPr>
      </w:pPr>
      <w:r w:rsidRPr="00C801C6">
        <w:rPr>
          <w:rStyle w:val="Strong"/>
          <w:rFonts w:cs="Arial"/>
          <w:b w:val="0"/>
          <w:szCs w:val="24"/>
        </w:rPr>
        <w:t xml:space="preserve">We </w:t>
      </w:r>
      <w:r w:rsidR="003B34FC">
        <w:rPr>
          <w:rStyle w:val="Strong"/>
          <w:rFonts w:cs="Arial"/>
          <w:b w:val="0"/>
          <w:szCs w:val="24"/>
        </w:rPr>
        <w:t>w</w:t>
      </w:r>
      <w:r w:rsidRPr="00C801C6">
        <w:rPr>
          <w:rStyle w:val="Strong"/>
          <w:rFonts w:cs="Arial"/>
          <w:b w:val="0"/>
          <w:szCs w:val="24"/>
        </w:rPr>
        <w:t>ou</w:t>
      </w:r>
      <w:r w:rsidR="003B34FC" w:rsidRPr="00C801C6">
        <w:rPr>
          <w:rStyle w:val="Strong"/>
          <w:rFonts w:cs="Arial"/>
          <w:b w:val="0"/>
          <w:szCs w:val="24"/>
        </w:rPr>
        <w:t xml:space="preserve">ld like to thank all those who contributed to this and future editions of the </w:t>
      </w:r>
      <w:r w:rsidRPr="00C801C6">
        <w:rPr>
          <w:rStyle w:val="Strong"/>
          <w:rFonts w:cs="Arial"/>
          <w:b w:val="0"/>
          <w:szCs w:val="24"/>
        </w:rPr>
        <w:t>OALM Newsletter.</w:t>
      </w:r>
    </w:p>
    <w:p w14:paraId="00760863" w14:textId="77777777" w:rsidR="00B731C5" w:rsidRPr="004467E3" w:rsidRDefault="004C4D13" w:rsidP="00C0583B">
      <w:pPr>
        <w:spacing w:after="120" w:line="240" w:lineRule="auto"/>
        <w:rPr>
          <w:rFonts w:eastAsia="Calibri" w:cs="Arial"/>
          <w:szCs w:val="24"/>
        </w:rPr>
      </w:pPr>
      <w:r w:rsidRPr="004467E3">
        <w:rPr>
          <w:rFonts w:eastAsia="Calibri" w:cs="Arial"/>
          <w:szCs w:val="24"/>
        </w:rPr>
        <w:t>The OALM Newsletter will be published six (6) times in calendar year 201</w:t>
      </w:r>
      <w:r w:rsidR="00C801C6">
        <w:rPr>
          <w:rFonts w:eastAsia="Calibri" w:cs="Arial"/>
          <w:szCs w:val="24"/>
        </w:rPr>
        <w:t>8</w:t>
      </w:r>
      <w:r w:rsidRPr="004467E3">
        <w:rPr>
          <w:rFonts w:eastAsia="Calibri" w:cs="Arial"/>
          <w:szCs w:val="24"/>
        </w:rPr>
        <w:t>. We encourage staff to submit articles that would be of interest to our readers. We will do our best to include such articles in future editions of the OALM Newsletter.</w:t>
      </w:r>
    </w:p>
    <w:p w14:paraId="4B2C67C6" w14:textId="77777777" w:rsidR="002F1801" w:rsidRPr="00C0583B" w:rsidRDefault="004C4D13" w:rsidP="00C0583B">
      <w:pPr>
        <w:spacing w:after="120" w:line="240" w:lineRule="auto"/>
        <w:rPr>
          <w:rFonts w:eastAsia="Calibri" w:cs="Arial"/>
          <w:color w:val="0000FF"/>
          <w:position w:val="-1"/>
          <w:szCs w:val="24"/>
        </w:rPr>
      </w:pPr>
      <w:r w:rsidRPr="004467E3">
        <w:rPr>
          <w:rFonts w:eastAsia="Calibri" w:cs="Arial"/>
          <w:szCs w:val="24"/>
        </w:rPr>
        <w:t>P</w:t>
      </w:r>
      <w:r w:rsidRPr="004467E3">
        <w:rPr>
          <w:rFonts w:eastAsia="Calibri" w:cs="Arial"/>
          <w:spacing w:val="-1"/>
          <w:szCs w:val="24"/>
        </w:rPr>
        <w:t>l</w:t>
      </w:r>
      <w:r w:rsidRPr="004467E3">
        <w:rPr>
          <w:rFonts w:eastAsia="Calibri" w:cs="Arial"/>
          <w:szCs w:val="24"/>
        </w:rPr>
        <w:t>ease</w:t>
      </w:r>
      <w:r w:rsidRPr="004467E3">
        <w:rPr>
          <w:rFonts w:eastAsia="Calibri" w:cs="Arial"/>
          <w:spacing w:val="-1"/>
          <w:szCs w:val="24"/>
        </w:rPr>
        <w:t xml:space="preserve"> </w:t>
      </w:r>
      <w:r w:rsidRPr="004467E3">
        <w:rPr>
          <w:rFonts w:eastAsia="Calibri" w:cs="Arial"/>
          <w:szCs w:val="24"/>
        </w:rPr>
        <w:t>a</w:t>
      </w:r>
      <w:r w:rsidRPr="004467E3">
        <w:rPr>
          <w:rFonts w:eastAsia="Calibri" w:cs="Arial"/>
          <w:spacing w:val="-2"/>
          <w:szCs w:val="24"/>
        </w:rPr>
        <w:t>d</w:t>
      </w:r>
      <w:r w:rsidRPr="004467E3">
        <w:rPr>
          <w:rFonts w:eastAsia="Calibri" w:cs="Arial"/>
          <w:szCs w:val="24"/>
        </w:rPr>
        <w:t>d</w:t>
      </w:r>
      <w:r w:rsidRPr="004467E3">
        <w:rPr>
          <w:rFonts w:eastAsia="Calibri" w:cs="Arial"/>
          <w:spacing w:val="-1"/>
          <w:szCs w:val="24"/>
        </w:rPr>
        <w:t>r</w:t>
      </w:r>
      <w:r w:rsidRPr="004467E3">
        <w:rPr>
          <w:rFonts w:eastAsia="Calibri" w:cs="Arial"/>
          <w:szCs w:val="24"/>
        </w:rPr>
        <w:t>ess a</w:t>
      </w:r>
      <w:r w:rsidRPr="004467E3">
        <w:rPr>
          <w:rFonts w:eastAsia="Calibri" w:cs="Arial"/>
          <w:spacing w:val="-1"/>
          <w:szCs w:val="24"/>
        </w:rPr>
        <w:t>l</w:t>
      </w:r>
      <w:r w:rsidRPr="004467E3">
        <w:rPr>
          <w:rFonts w:eastAsia="Calibri" w:cs="Arial"/>
          <w:szCs w:val="24"/>
        </w:rPr>
        <w:t>l co</w:t>
      </w:r>
      <w:r w:rsidRPr="004467E3">
        <w:rPr>
          <w:rFonts w:eastAsia="Calibri" w:cs="Arial"/>
          <w:spacing w:val="-1"/>
          <w:szCs w:val="24"/>
        </w:rPr>
        <w:t>r</w:t>
      </w:r>
      <w:r w:rsidRPr="004467E3">
        <w:rPr>
          <w:rFonts w:eastAsia="Calibri" w:cs="Arial"/>
          <w:spacing w:val="-3"/>
          <w:szCs w:val="24"/>
        </w:rPr>
        <w:t>r</w:t>
      </w:r>
      <w:r w:rsidRPr="004467E3">
        <w:rPr>
          <w:rFonts w:eastAsia="Calibri" w:cs="Arial"/>
          <w:szCs w:val="24"/>
        </w:rPr>
        <w:t>esp</w:t>
      </w:r>
      <w:r w:rsidRPr="004467E3">
        <w:rPr>
          <w:rFonts w:eastAsia="Calibri" w:cs="Arial"/>
          <w:spacing w:val="-2"/>
          <w:szCs w:val="24"/>
        </w:rPr>
        <w:t>o</w:t>
      </w:r>
      <w:r w:rsidRPr="004467E3">
        <w:rPr>
          <w:rFonts w:eastAsia="Calibri" w:cs="Arial"/>
          <w:szCs w:val="24"/>
        </w:rPr>
        <w:t>nd</w:t>
      </w:r>
      <w:r w:rsidRPr="004467E3">
        <w:rPr>
          <w:rFonts w:eastAsia="Calibri" w:cs="Arial"/>
          <w:spacing w:val="-2"/>
          <w:szCs w:val="24"/>
        </w:rPr>
        <w:t>e</w:t>
      </w:r>
      <w:r w:rsidRPr="004467E3">
        <w:rPr>
          <w:rFonts w:eastAsia="Calibri" w:cs="Arial"/>
          <w:szCs w:val="24"/>
        </w:rPr>
        <w:t>nce</w:t>
      </w:r>
      <w:r w:rsidRPr="004467E3">
        <w:rPr>
          <w:rFonts w:eastAsia="Calibri" w:cs="Arial"/>
          <w:spacing w:val="2"/>
          <w:szCs w:val="24"/>
        </w:rPr>
        <w:t xml:space="preserve"> </w:t>
      </w:r>
      <w:r w:rsidRPr="004467E3">
        <w:rPr>
          <w:rFonts w:eastAsia="Calibri" w:cs="Arial"/>
          <w:spacing w:val="-2"/>
          <w:szCs w:val="24"/>
        </w:rPr>
        <w:t>t</w:t>
      </w:r>
      <w:r w:rsidRPr="004467E3">
        <w:rPr>
          <w:rFonts w:eastAsia="Calibri" w:cs="Arial"/>
          <w:szCs w:val="24"/>
        </w:rPr>
        <w:t>o</w:t>
      </w:r>
      <w:r w:rsidRPr="004467E3">
        <w:rPr>
          <w:rFonts w:eastAsia="Calibri" w:cs="Arial"/>
          <w:spacing w:val="2"/>
          <w:szCs w:val="24"/>
        </w:rPr>
        <w:t xml:space="preserve"> </w:t>
      </w:r>
      <w:r w:rsidRPr="004467E3">
        <w:rPr>
          <w:rFonts w:eastAsia="Calibri" w:cs="Arial"/>
          <w:spacing w:val="-2"/>
          <w:szCs w:val="24"/>
        </w:rPr>
        <w:t>t</w:t>
      </w:r>
      <w:r w:rsidRPr="004467E3">
        <w:rPr>
          <w:rFonts w:eastAsia="Calibri" w:cs="Arial"/>
          <w:szCs w:val="24"/>
        </w:rPr>
        <w:t>he</w:t>
      </w:r>
      <w:r w:rsidRPr="004467E3">
        <w:rPr>
          <w:rFonts w:eastAsia="Calibri" w:cs="Arial"/>
          <w:spacing w:val="-1"/>
          <w:szCs w:val="24"/>
        </w:rPr>
        <w:t xml:space="preserve"> </w:t>
      </w:r>
      <w:r w:rsidRPr="004467E3">
        <w:rPr>
          <w:rFonts w:eastAsia="Calibri" w:cs="Arial"/>
          <w:szCs w:val="24"/>
        </w:rPr>
        <w:t>ed</w:t>
      </w:r>
      <w:r w:rsidRPr="004467E3">
        <w:rPr>
          <w:rFonts w:eastAsia="Calibri" w:cs="Arial"/>
          <w:spacing w:val="-1"/>
          <w:szCs w:val="24"/>
        </w:rPr>
        <w:t>i</w:t>
      </w:r>
      <w:r w:rsidRPr="004467E3">
        <w:rPr>
          <w:rFonts w:eastAsia="Calibri" w:cs="Arial"/>
          <w:spacing w:val="-2"/>
          <w:szCs w:val="24"/>
        </w:rPr>
        <w:t>t</w:t>
      </w:r>
      <w:r w:rsidRPr="004467E3">
        <w:rPr>
          <w:rFonts w:eastAsia="Calibri" w:cs="Arial"/>
          <w:szCs w:val="24"/>
        </w:rPr>
        <w:t>o</w:t>
      </w:r>
      <w:r w:rsidRPr="004467E3">
        <w:rPr>
          <w:rFonts w:eastAsia="Calibri" w:cs="Arial"/>
          <w:spacing w:val="-1"/>
          <w:szCs w:val="24"/>
        </w:rPr>
        <w:t>r</w:t>
      </w:r>
      <w:r w:rsidRPr="004467E3">
        <w:rPr>
          <w:rFonts w:eastAsia="Calibri" w:cs="Arial"/>
          <w:szCs w:val="24"/>
        </w:rPr>
        <w:t>s:</w:t>
      </w:r>
      <w:r w:rsidR="00124656">
        <w:rPr>
          <w:rFonts w:eastAsia="Calibri" w:cs="Arial"/>
          <w:szCs w:val="24"/>
        </w:rPr>
        <w:t xml:space="preserve"> </w:t>
      </w:r>
      <w:r w:rsidRPr="004467E3">
        <w:rPr>
          <w:rFonts w:eastAsia="Calibri" w:cs="Arial"/>
          <w:spacing w:val="-1"/>
          <w:szCs w:val="24"/>
        </w:rPr>
        <w:t>Mil</w:t>
      </w:r>
      <w:r w:rsidRPr="004467E3">
        <w:rPr>
          <w:rFonts w:eastAsia="Calibri" w:cs="Arial"/>
          <w:szCs w:val="24"/>
        </w:rPr>
        <w:t xml:space="preserve">ton Nicholas, </w:t>
      </w:r>
      <w:hyperlink r:id="rId45" w:tooltip="NicholaM@od.nih.gov" w:history="1">
        <w:r w:rsidRPr="009537CC">
          <w:rPr>
            <w:rStyle w:val="Hyperlink"/>
            <w:rFonts w:eastAsia="Calibri" w:cs="Arial"/>
            <w:spacing w:val="-1"/>
            <w:szCs w:val="24"/>
            <w:u w:color="0000FF"/>
          </w:rPr>
          <w:t>Ni</w:t>
        </w:r>
        <w:r w:rsidRPr="009537CC">
          <w:rPr>
            <w:rStyle w:val="Hyperlink"/>
            <w:rFonts w:eastAsia="Calibri" w:cs="Arial"/>
            <w:szCs w:val="24"/>
            <w:u w:color="0000FF"/>
          </w:rPr>
          <w:t>cho</w:t>
        </w:r>
        <w:r w:rsidRPr="009537CC">
          <w:rPr>
            <w:rStyle w:val="Hyperlink"/>
            <w:rFonts w:eastAsia="Calibri" w:cs="Arial"/>
            <w:spacing w:val="-1"/>
            <w:szCs w:val="24"/>
            <w:u w:color="0000FF"/>
          </w:rPr>
          <w:t>l</w:t>
        </w:r>
        <w:r w:rsidRPr="009537CC">
          <w:rPr>
            <w:rStyle w:val="Hyperlink"/>
            <w:rFonts w:eastAsia="Calibri" w:cs="Arial"/>
            <w:szCs w:val="24"/>
            <w:u w:color="0000FF"/>
          </w:rPr>
          <w:t>a</w:t>
        </w:r>
        <w:r w:rsidRPr="009537CC">
          <w:rPr>
            <w:rStyle w:val="Hyperlink"/>
            <w:rFonts w:eastAsia="Calibri" w:cs="Arial"/>
            <w:spacing w:val="-1"/>
            <w:szCs w:val="24"/>
            <w:u w:color="0000FF"/>
          </w:rPr>
          <w:t>M</w:t>
        </w:r>
        <w:r w:rsidRPr="009537CC">
          <w:rPr>
            <w:rStyle w:val="Hyperlink"/>
            <w:rFonts w:eastAsia="Calibri" w:cs="Arial"/>
            <w:szCs w:val="24"/>
            <w:u w:color="0000FF"/>
          </w:rPr>
          <w:t>@</w:t>
        </w:r>
        <w:r w:rsidRPr="009537CC">
          <w:rPr>
            <w:rStyle w:val="Hyperlink"/>
            <w:rFonts w:eastAsia="Calibri" w:cs="Arial"/>
            <w:spacing w:val="-1"/>
            <w:szCs w:val="24"/>
            <w:u w:color="0000FF"/>
          </w:rPr>
          <w:t>o</w:t>
        </w:r>
        <w:r w:rsidRPr="009537CC">
          <w:rPr>
            <w:rStyle w:val="Hyperlink"/>
            <w:rFonts w:eastAsia="Calibri" w:cs="Arial"/>
            <w:szCs w:val="24"/>
            <w:u w:color="0000FF"/>
          </w:rPr>
          <w:t>d.n</w:t>
        </w:r>
        <w:r w:rsidRPr="009537CC">
          <w:rPr>
            <w:rStyle w:val="Hyperlink"/>
            <w:rFonts w:eastAsia="Calibri" w:cs="Arial"/>
            <w:spacing w:val="-1"/>
            <w:szCs w:val="24"/>
            <w:u w:color="0000FF"/>
          </w:rPr>
          <w:t>i</w:t>
        </w:r>
        <w:r w:rsidRPr="009537CC">
          <w:rPr>
            <w:rStyle w:val="Hyperlink"/>
            <w:rFonts w:eastAsia="Calibri" w:cs="Arial"/>
            <w:szCs w:val="24"/>
            <w:u w:color="0000FF"/>
          </w:rPr>
          <w:t>h.</w:t>
        </w:r>
        <w:r w:rsidRPr="009537CC">
          <w:rPr>
            <w:rStyle w:val="Hyperlink"/>
            <w:rFonts w:eastAsia="Calibri" w:cs="Arial"/>
            <w:spacing w:val="-1"/>
            <w:szCs w:val="24"/>
            <w:u w:color="0000FF"/>
          </w:rPr>
          <w:t>g</w:t>
        </w:r>
        <w:r w:rsidRPr="009537CC">
          <w:rPr>
            <w:rStyle w:val="Hyperlink"/>
            <w:rFonts w:eastAsia="Calibri" w:cs="Arial"/>
            <w:szCs w:val="24"/>
            <w:u w:color="0000FF"/>
          </w:rPr>
          <w:t>o</w:t>
        </w:r>
        <w:r w:rsidRPr="009537CC">
          <w:rPr>
            <w:rStyle w:val="Hyperlink"/>
            <w:rFonts w:eastAsia="Calibri" w:cs="Arial"/>
            <w:spacing w:val="-2"/>
            <w:szCs w:val="24"/>
            <w:u w:color="0000FF"/>
          </w:rPr>
          <w:t>v</w:t>
        </w:r>
      </w:hyperlink>
      <w:hyperlink>
        <w:r w:rsidRPr="004467E3">
          <w:rPr>
            <w:rFonts w:eastAsia="Calibri" w:cs="Arial"/>
            <w:color w:val="000000"/>
            <w:szCs w:val="24"/>
          </w:rPr>
          <w:t>, A</w:t>
        </w:r>
        <w:r w:rsidRPr="004467E3">
          <w:rPr>
            <w:rFonts w:eastAsia="Calibri" w:cs="Arial"/>
            <w:color w:val="000000"/>
            <w:spacing w:val="-1"/>
            <w:szCs w:val="24"/>
          </w:rPr>
          <w:t>n</w:t>
        </w:r>
        <w:r w:rsidRPr="004467E3">
          <w:rPr>
            <w:rFonts w:eastAsia="Calibri" w:cs="Arial"/>
            <w:color w:val="000000"/>
            <w:szCs w:val="24"/>
          </w:rPr>
          <w:t>net</w:t>
        </w:r>
        <w:r w:rsidRPr="004467E3">
          <w:rPr>
            <w:rFonts w:eastAsia="Calibri" w:cs="Arial"/>
            <w:color w:val="000000"/>
            <w:spacing w:val="-2"/>
            <w:szCs w:val="24"/>
          </w:rPr>
          <w:t>t</w:t>
        </w:r>
        <w:r w:rsidRPr="004467E3">
          <w:rPr>
            <w:rFonts w:eastAsia="Calibri" w:cs="Arial"/>
            <w:color w:val="000000"/>
            <w:szCs w:val="24"/>
          </w:rPr>
          <w:t>e</w:t>
        </w:r>
        <w:r w:rsidRPr="004467E3">
          <w:rPr>
            <w:rFonts w:eastAsia="Calibri" w:cs="Arial"/>
            <w:color w:val="000000"/>
            <w:spacing w:val="2"/>
            <w:szCs w:val="24"/>
          </w:rPr>
          <w:t xml:space="preserve"> </w:t>
        </w:r>
        <w:r w:rsidRPr="004467E3">
          <w:rPr>
            <w:rFonts w:eastAsia="Calibri" w:cs="Arial"/>
            <w:color w:val="000000"/>
            <w:spacing w:val="-1"/>
            <w:szCs w:val="24"/>
          </w:rPr>
          <w:t>Ro</w:t>
        </w:r>
        <w:r w:rsidRPr="004467E3">
          <w:rPr>
            <w:rFonts w:eastAsia="Calibri" w:cs="Arial"/>
            <w:color w:val="000000"/>
            <w:spacing w:val="2"/>
            <w:szCs w:val="24"/>
          </w:rPr>
          <w:t>m</w:t>
        </w:r>
        <w:r w:rsidRPr="004467E3">
          <w:rPr>
            <w:rFonts w:eastAsia="Calibri" w:cs="Arial"/>
            <w:color w:val="000000"/>
            <w:szCs w:val="24"/>
          </w:rPr>
          <w:t>a</w:t>
        </w:r>
        <w:r w:rsidRPr="004467E3">
          <w:rPr>
            <w:rFonts w:eastAsia="Calibri" w:cs="Arial"/>
            <w:color w:val="000000"/>
            <w:spacing w:val="-2"/>
            <w:szCs w:val="24"/>
          </w:rPr>
          <w:t>n</w:t>
        </w:r>
        <w:r w:rsidRPr="004467E3">
          <w:rPr>
            <w:rFonts w:eastAsia="Calibri" w:cs="Arial"/>
            <w:color w:val="000000"/>
            <w:szCs w:val="24"/>
          </w:rPr>
          <w:t xml:space="preserve">esk, </w:t>
        </w:r>
      </w:hyperlink>
      <w:hyperlink r:id="rId46" w:tooltip="RomanesA@od.nih.gov" w:history="1">
        <w:r w:rsidRPr="009537CC">
          <w:rPr>
            <w:rStyle w:val="Hyperlink"/>
            <w:rFonts w:eastAsia="Calibri" w:cs="Arial"/>
            <w:spacing w:val="-1"/>
            <w:szCs w:val="24"/>
          </w:rPr>
          <w:t>R</w:t>
        </w:r>
        <w:r w:rsidRPr="009537CC">
          <w:rPr>
            <w:rStyle w:val="Hyperlink"/>
            <w:rFonts w:eastAsia="Calibri" w:cs="Arial"/>
            <w:szCs w:val="24"/>
          </w:rPr>
          <w:t>o</w:t>
        </w:r>
        <w:r w:rsidRPr="009537CC">
          <w:rPr>
            <w:rStyle w:val="Hyperlink"/>
            <w:rFonts w:eastAsia="Calibri" w:cs="Arial"/>
            <w:spacing w:val="2"/>
            <w:szCs w:val="24"/>
          </w:rPr>
          <w:t>m</w:t>
        </w:r>
        <w:r w:rsidRPr="009537CC">
          <w:rPr>
            <w:rStyle w:val="Hyperlink"/>
            <w:rFonts w:eastAsia="Calibri" w:cs="Arial"/>
            <w:spacing w:val="-1"/>
            <w:szCs w:val="24"/>
          </w:rPr>
          <w:t>a</w:t>
        </w:r>
        <w:r w:rsidRPr="009537CC">
          <w:rPr>
            <w:rStyle w:val="Hyperlink"/>
            <w:rFonts w:eastAsia="Calibri" w:cs="Arial"/>
            <w:szCs w:val="24"/>
          </w:rPr>
          <w:t>ne</w:t>
        </w:r>
        <w:r w:rsidRPr="009537CC">
          <w:rPr>
            <w:rStyle w:val="Hyperlink"/>
            <w:rFonts w:eastAsia="Calibri" w:cs="Arial"/>
            <w:spacing w:val="-2"/>
            <w:szCs w:val="24"/>
          </w:rPr>
          <w:t>s</w:t>
        </w:r>
        <w:r w:rsidRPr="009537CC">
          <w:rPr>
            <w:rStyle w:val="Hyperlink"/>
            <w:rFonts w:eastAsia="Calibri" w:cs="Arial"/>
            <w:szCs w:val="24"/>
          </w:rPr>
          <w:t>A</w:t>
        </w:r>
        <w:r w:rsidRPr="009537CC">
          <w:rPr>
            <w:rStyle w:val="Hyperlink"/>
            <w:rFonts w:eastAsia="Calibri" w:cs="Arial"/>
            <w:spacing w:val="-1"/>
            <w:szCs w:val="24"/>
          </w:rPr>
          <w:t>@</w:t>
        </w:r>
        <w:r w:rsidRPr="009537CC">
          <w:rPr>
            <w:rStyle w:val="Hyperlink"/>
            <w:rFonts w:eastAsia="Calibri" w:cs="Arial"/>
            <w:szCs w:val="24"/>
          </w:rPr>
          <w:t>od.n</w:t>
        </w:r>
        <w:r w:rsidRPr="009537CC">
          <w:rPr>
            <w:rStyle w:val="Hyperlink"/>
            <w:rFonts w:eastAsia="Calibri" w:cs="Arial"/>
            <w:spacing w:val="-3"/>
            <w:szCs w:val="24"/>
          </w:rPr>
          <w:t>i</w:t>
        </w:r>
        <w:r w:rsidRPr="009537CC">
          <w:rPr>
            <w:rStyle w:val="Hyperlink"/>
            <w:rFonts w:eastAsia="Calibri" w:cs="Arial"/>
            <w:szCs w:val="24"/>
          </w:rPr>
          <w:t>h.</w:t>
        </w:r>
        <w:r w:rsidRPr="009537CC">
          <w:rPr>
            <w:rStyle w:val="Hyperlink"/>
            <w:rFonts w:eastAsia="Calibri" w:cs="Arial"/>
            <w:spacing w:val="-1"/>
            <w:szCs w:val="24"/>
          </w:rPr>
          <w:t>g</w:t>
        </w:r>
        <w:r w:rsidRPr="009537CC">
          <w:rPr>
            <w:rStyle w:val="Hyperlink"/>
            <w:rFonts w:eastAsia="Calibri" w:cs="Arial"/>
            <w:szCs w:val="24"/>
          </w:rPr>
          <w:t>o</w:t>
        </w:r>
        <w:r w:rsidRPr="009537CC">
          <w:rPr>
            <w:rStyle w:val="Hyperlink"/>
            <w:rFonts w:eastAsia="Calibri" w:cs="Arial"/>
            <w:spacing w:val="-2"/>
            <w:szCs w:val="24"/>
          </w:rPr>
          <w:t>v</w:t>
        </w:r>
      </w:hyperlink>
      <w:hyperlink>
        <w:r w:rsidRPr="004467E3">
          <w:rPr>
            <w:rFonts w:eastAsia="Calibri" w:cs="Arial"/>
            <w:color w:val="000000"/>
            <w:szCs w:val="24"/>
          </w:rPr>
          <w:t xml:space="preserve">, </w:t>
        </w:r>
        <w:r w:rsidRPr="004467E3">
          <w:rPr>
            <w:rFonts w:eastAsia="Calibri" w:cs="Arial"/>
            <w:color w:val="000000"/>
            <w:spacing w:val="-1"/>
            <w:szCs w:val="24"/>
          </w:rPr>
          <w:t>Mi</w:t>
        </w:r>
        <w:r w:rsidRPr="004467E3">
          <w:rPr>
            <w:rFonts w:eastAsia="Calibri" w:cs="Arial"/>
            <w:color w:val="000000"/>
            <w:szCs w:val="24"/>
          </w:rPr>
          <w:t>che</w:t>
        </w:r>
        <w:r w:rsidRPr="004467E3">
          <w:rPr>
            <w:rFonts w:eastAsia="Calibri" w:cs="Arial"/>
            <w:color w:val="000000"/>
            <w:spacing w:val="-1"/>
            <w:szCs w:val="24"/>
          </w:rPr>
          <w:t>l</w:t>
        </w:r>
        <w:r w:rsidRPr="004467E3">
          <w:rPr>
            <w:rFonts w:eastAsia="Calibri" w:cs="Arial"/>
            <w:color w:val="000000"/>
            <w:szCs w:val="24"/>
          </w:rPr>
          <w:t>e</w:t>
        </w:r>
      </w:hyperlink>
      <w:r w:rsidRPr="004467E3">
        <w:rPr>
          <w:rFonts w:eastAsia="Calibri" w:cs="Arial"/>
          <w:color w:val="000000"/>
          <w:szCs w:val="24"/>
        </w:rPr>
        <w:t xml:space="preserve"> </w:t>
      </w:r>
      <w:r w:rsidRPr="004467E3">
        <w:rPr>
          <w:rFonts w:eastAsia="Calibri" w:cs="Arial"/>
          <w:spacing w:val="-1"/>
          <w:szCs w:val="24"/>
        </w:rPr>
        <w:t>M</w:t>
      </w:r>
      <w:r w:rsidRPr="004467E3">
        <w:rPr>
          <w:rFonts w:eastAsia="Calibri" w:cs="Arial"/>
          <w:szCs w:val="24"/>
        </w:rPr>
        <w:t>c</w:t>
      </w:r>
      <w:r w:rsidRPr="004467E3">
        <w:rPr>
          <w:rFonts w:eastAsia="Calibri" w:cs="Arial"/>
          <w:spacing w:val="-1"/>
          <w:szCs w:val="24"/>
        </w:rPr>
        <w:t>D</w:t>
      </w:r>
      <w:r w:rsidRPr="004467E3">
        <w:rPr>
          <w:rFonts w:eastAsia="Calibri" w:cs="Arial"/>
          <w:szCs w:val="24"/>
        </w:rPr>
        <w:t>e</w:t>
      </w:r>
      <w:r w:rsidRPr="004467E3">
        <w:rPr>
          <w:rFonts w:eastAsia="Calibri" w:cs="Arial"/>
          <w:spacing w:val="-1"/>
          <w:szCs w:val="24"/>
        </w:rPr>
        <w:t>r</w:t>
      </w:r>
      <w:r w:rsidRPr="004467E3">
        <w:rPr>
          <w:rFonts w:eastAsia="Calibri" w:cs="Arial"/>
          <w:spacing w:val="2"/>
          <w:szCs w:val="24"/>
        </w:rPr>
        <w:t>m</w:t>
      </w:r>
      <w:r w:rsidRPr="004467E3">
        <w:rPr>
          <w:rFonts w:eastAsia="Calibri" w:cs="Arial"/>
          <w:szCs w:val="24"/>
        </w:rPr>
        <w:t xml:space="preserve">ott, </w:t>
      </w:r>
      <w:hyperlink r:id="rId47" w:tooltip="McDermottMl@od.nih.gov" w:history="1">
        <w:r w:rsidRPr="009537CC">
          <w:rPr>
            <w:rStyle w:val="Hyperlink"/>
            <w:rFonts w:eastAsia="Calibri" w:cs="Arial"/>
            <w:spacing w:val="-1"/>
            <w:szCs w:val="24"/>
            <w:u w:color="0000FF"/>
          </w:rPr>
          <w:t>M</w:t>
        </w:r>
        <w:r w:rsidRPr="009537CC">
          <w:rPr>
            <w:rStyle w:val="Hyperlink"/>
            <w:rFonts w:eastAsia="Calibri" w:cs="Arial"/>
            <w:szCs w:val="24"/>
            <w:u w:color="0000FF"/>
          </w:rPr>
          <w:t>c</w:t>
        </w:r>
        <w:r w:rsidRPr="009537CC">
          <w:rPr>
            <w:rStyle w:val="Hyperlink"/>
            <w:rFonts w:eastAsia="Calibri" w:cs="Arial"/>
            <w:spacing w:val="-1"/>
            <w:szCs w:val="24"/>
            <w:u w:color="0000FF"/>
          </w:rPr>
          <w:t>D</w:t>
        </w:r>
        <w:r w:rsidRPr="009537CC">
          <w:rPr>
            <w:rStyle w:val="Hyperlink"/>
            <w:rFonts w:eastAsia="Calibri" w:cs="Arial"/>
            <w:szCs w:val="24"/>
            <w:u w:color="0000FF"/>
          </w:rPr>
          <w:t>e</w:t>
        </w:r>
        <w:r w:rsidRPr="009537CC">
          <w:rPr>
            <w:rStyle w:val="Hyperlink"/>
            <w:rFonts w:eastAsia="Calibri" w:cs="Arial"/>
            <w:spacing w:val="-1"/>
            <w:szCs w:val="24"/>
            <w:u w:color="0000FF"/>
          </w:rPr>
          <w:t>r</w:t>
        </w:r>
        <w:r w:rsidRPr="009537CC">
          <w:rPr>
            <w:rStyle w:val="Hyperlink"/>
            <w:rFonts w:eastAsia="Calibri" w:cs="Arial"/>
            <w:spacing w:val="2"/>
            <w:szCs w:val="24"/>
            <w:u w:color="0000FF"/>
          </w:rPr>
          <w:t>m</w:t>
        </w:r>
        <w:r w:rsidRPr="009537CC">
          <w:rPr>
            <w:rStyle w:val="Hyperlink"/>
            <w:rFonts w:eastAsia="Calibri" w:cs="Arial"/>
            <w:szCs w:val="24"/>
            <w:u w:color="0000FF"/>
          </w:rPr>
          <w:t>o</w:t>
        </w:r>
        <w:r w:rsidRPr="009537CC">
          <w:rPr>
            <w:rStyle w:val="Hyperlink"/>
            <w:rFonts w:eastAsia="Calibri" w:cs="Arial"/>
            <w:spacing w:val="-2"/>
            <w:szCs w:val="24"/>
            <w:u w:color="0000FF"/>
          </w:rPr>
          <w:t>t</w:t>
        </w:r>
        <w:r w:rsidRPr="009537CC">
          <w:rPr>
            <w:rStyle w:val="Hyperlink"/>
            <w:rFonts w:eastAsia="Calibri" w:cs="Arial"/>
            <w:szCs w:val="24"/>
            <w:u w:color="0000FF"/>
          </w:rPr>
          <w:t>t</w:t>
        </w:r>
        <w:r w:rsidRPr="009537CC">
          <w:rPr>
            <w:rStyle w:val="Hyperlink"/>
            <w:rFonts w:eastAsia="Calibri" w:cs="Arial"/>
            <w:spacing w:val="-1"/>
            <w:szCs w:val="24"/>
            <w:u w:color="0000FF"/>
          </w:rPr>
          <w:t>Ml</w:t>
        </w:r>
        <w:r w:rsidRPr="009537CC">
          <w:rPr>
            <w:rStyle w:val="Hyperlink"/>
            <w:rFonts w:eastAsia="Calibri" w:cs="Arial"/>
            <w:szCs w:val="24"/>
            <w:u w:color="0000FF"/>
          </w:rPr>
          <w:t>@od</w:t>
        </w:r>
        <w:r w:rsidRPr="009537CC">
          <w:rPr>
            <w:rStyle w:val="Hyperlink"/>
            <w:rFonts w:eastAsia="Calibri" w:cs="Arial"/>
            <w:spacing w:val="-2"/>
            <w:szCs w:val="24"/>
            <w:u w:color="0000FF"/>
          </w:rPr>
          <w:t>.</w:t>
        </w:r>
        <w:r w:rsidRPr="009537CC">
          <w:rPr>
            <w:rStyle w:val="Hyperlink"/>
            <w:rFonts w:eastAsia="Calibri" w:cs="Arial"/>
            <w:szCs w:val="24"/>
            <w:u w:color="0000FF"/>
          </w:rPr>
          <w:t>n</w:t>
        </w:r>
        <w:r w:rsidRPr="009537CC">
          <w:rPr>
            <w:rStyle w:val="Hyperlink"/>
            <w:rFonts w:eastAsia="Calibri" w:cs="Arial"/>
            <w:spacing w:val="-1"/>
            <w:szCs w:val="24"/>
            <w:u w:color="0000FF"/>
          </w:rPr>
          <w:t>i</w:t>
        </w:r>
        <w:r w:rsidRPr="009537CC">
          <w:rPr>
            <w:rStyle w:val="Hyperlink"/>
            <w:rFonts w:eastAsia="Calibri" w:cs="Arial"/>
            <w:szCs w:val="24"/>
            <w:u w:color="0000FF"/>
          </w:rPr>
          <w:t>h.</w:t>
        </w:r>
        <w:r w:rsidRPr="009537CC">
          <w:rPr>
            <w:rStyle w:val="Hyperlink"/>
            <w:rFonts w:eastAsia="Calibri" w:cs="Arial"/>
            <w:spacing w:val="-1"/>
            <w:szCs w:val="24"/>
            <w:u w:color="0000FF"/>
          </w:rPr>
          <w:t>g</w:t>
        </w:r>
        <w:r w:rsidRPr="009537CC">
          <w:rPr>
            <w:rStyle w:val="Hyperlink"/>
            <w:rFonts w:eastAsia="Calibri" w:cs="Arial"/>
            <w:szCs w:val="24"/>
            <w:u w:color="0000FF"/>
          </w:rPr>
          <w:t>o</w:t>
        </w:r>
        <w:r w:rsidRPr="009537CC">
          <w:rPr>
            <w:rStyle w:val="Hyperlink"/>
            <w:rFonts w:eastAsia="Calibri" w:cs="Arial"/>
            <w:spacing w:val="-2"/>
            <w:szCs w:val="24"/>
            <w:u w:color="0000FF"/>
          </w:rPr>
          <w:t>v</w:t>
        </w:r>
      </w:hyperlink>
      <w:r w:rsidR="00476F79" w:rsidRPr="007B777C">
        <w:rPr>
          <w:rFonts w:eastAsia="Calibri" w:cs="Arial"/>
          <w:szCs w:val="24"/>
        </w:rPr>
        <w:t>, Jesse</w:t>
      </w:r>
      <w:r w:rsidR="00476F79" w:rsidRPr="007B777C">
        <w:rPr>
          <w:rFonts w:eastAsia="Calibri" w:cs="Arial"/>
          <w:spacing w:val="-1"/>
          <w:szCs w:val="24"/>
        </w:rPr>
        <w:t xml:space="preserve"> </w:t>
      </w:r>
      <w:r w:rsidR="00476F79" w:rsidRPr="007B777C">
        <w:rPr>
          <w:rFonts w:eastAsia="Calibri" w:cs="Arial"/>
          <w:szCs w:val="24"/>
        </w:rPr>
        <w:t>Lee</w:t>
      </w:r>
      <w:r w:rsidR="00476F79" w:rsidRPr="007B777C">
        <w:rPr>
          <w:rFonts w:eastAsia="Calibri" w:cs="Arial"/>
          <w:spacing w:val="-1"/>
          <w:szCs w:val="24"/>
        </w:rPr>
        <w:t>,</w:t>
      </w:r>
      <w:r w:rsidR="00476F79" w:rsidRPr="007B777C">
        <w:rPr>
          <w:rFonts w:eastAsia="Calibri" w:cs="Arial"/>
          <w:szCs w:val="24"/>
        </w:rPr>
        <w:t xml:space="preserve"> </w:t>
      </w:r>
      <w:hyperlink r:id="rId48" w:tooltip="Jesse.Lee2@nih.gov" w:history="1">
        <w:r w:rsidRPr="009537CC">
          <w:rPr>
            <w:rStyle w:val="Hyperlink"/>
            <w:rFonts w:eastAsia="Calibri" w:cs="Arial"/>
            <w:szCs w:val="24"/>
          </w:rPr>
          <w:t>Jesse</w:t>
        </w:r>
        <w:r w:rsidRPr="009537CC">
          <w:rPr>
            <w:rStyle w:val="Hyperlink"/>
            <w:rFonts w:eastAsia="Calibri" w:cs="Arial"/>
            <w:spacing w:val="-2"/>
            <w:szCs w:val="24"/>
          </w:rPr>
          <w:t>.</w:t>
        </w:r>
        <w:r w:rsidRPr="009537CC">
          <w:rPr>
            <w:rStyle w:val="Hyperlink"/>
            <w:rFonts w:eastAsia="Calibri" w:cs="Arial"/>
            <w:szCs w:val="24"/>
          </w:rPr>
          <w:t>Le</w:t>
        </w:r>
        <w:r w:rsidRPr="009537CC">
          <w:rPr>
            <w:rStyle w:val="Hyperlink"/>
            <w:rFonts w:eastAsia="Calibri" w:cs="Arial"/>
            <w:spacing w:val="-2"/>
            <w:szCs w:val="24"/>
          </w:rPr>
          <w:t>e</w:t>
        </w:r>
        <w:r w:rsidRPr="009537CC">
          <w:rPr>
            <w:rStyle w:val="Hyperlink"/>
            <w:rFonts w:eastAsia="Calibri" w:cs="Arial"/>
            <w:szCs w:val="24"/>
          </w:rPr>
          <w:t>2</w:t>
        </w:r>
        <w:r w:rsidRPr="009537CC">
          <w:rPr>
            <w:rStyle w:val="Hyperlink"/>
            <w:rFonts w:eastAsia="Calibri" w:cs="Arial"/>
            <w:spacing w:val="-1"/>
            <w:szCs w:val="24"/>
          </w:rPr>
          <w:t>@ni</w:t>
        </w:r>
        <w:r w:rsidRPr="009537CC">
          <w:rPr>
            <w:rStyle w:val="Hyperlink"/>
            <w:rFonts w:eastAsia="Calibri" w:cs="Arial"/>
            <w:szCs w:val="24"/>
          </w:rPr>
          <w:t>h.</w:t>
        </w:r>
        <w:r w:rsidRPr="009537CC">
          <w:rPr>
            <w:rStyle w:val="Hyperlink"/>
            <w:rFonts w:eastAsia="Calibri" w:cs="Arial"/>
            <w:spacing w:val="-1"/>
            <w:szCs w:val="24"/>
          </w:rPr>
          <w:t>g</w:t>
        </w:r>
        <w:r w:rsidRPr="009537CC">
          <w:rPr>
            <w:rStyle w:val="Hyperlink"/>
            <w:rFonts w:eastAsia="Calibri" w:cs="Arial"/>
            <w:szCs w:val="24"/>
          </w:rPr>
          <w:t>o</w:t>
        </w:r>
        <w:r w:rsidRPr="009537CC">
          <w:rPr>
            <w:rStyle w:val="Hyperlink"/>
            <w:rFonts w:eastAsia="Calibri" w:cs="Arial"/>
            <w:spacing w:val="-2"/>
            <w:szCs w:val="24"/>
          </w:rPr>
          <w:t>v</w:t>
        </w:r>
      </w:hyperlink>
      <w:hyperlink r:id="rId49" w:history="1">
        <w:r w:rsidR="00943AFF" w:rsidRPr="001E18F0">
          <w:rPr>
            <w:rStyle w:val="Hyperlink"/>
            <w:rFonts w:eastAsia="Calibri" w:cs="Arial"/>
            <w:color w:val="000000" w:themeColor="text1"/>
            <w:szCs w:val="24"/>
            <w:u w:val="none"/>
          </w:rPr>
          <w:t>, or Ba</w:t>
        </w:r>
        <w:r w:rsidR="00943AFF" w:rsidRPr="001E18F0">
          <w:rPr>
            <w:rStyle w:val="Hyperlink"/>
            <w:rFonts w:eastAsia="Calibri" w:cs="Arial"/>
            <w:color w:val="000000" w:themeColor="text1"/>
            <w:spacing w:val="-1"/>
            <w:szCs w:val="24"/>
            <w:u w:val="none"/>
          </w:rPr>
          <w:t>rry</w:t>
        </w:r>
      </w:hyperlink>
      <w:r w:rsidRPr="001E18F0">
        <w:rPr>
          <w:rFonts w:eastAsia="Calibri" w:cs="Arial"/>
          <w:color w:val="000000" w:themeColor="text1"/>
          <w:spacing w:val="-1"/>
          <w:szCs w:val="24"/>
        </w:rPr>
        <w:t xml:space="preserve"> </w:t>
      </w:r>
      <w:r w:rsidRPr="004467E3">
        <w:rPr>
          <w:rFonts w:eastAsia="Calibri" w:cs="Arial"/>
          <w:position w:val="-1"/>
          <w:szCs w:val="24"/>
        </w:rPr>
        <w:t>So</w:t>
      </w:r>
      <w:r w:rsidRPr="004467E3">
        <w:rPr>
          <w:rFonts w:eastAsia="Calibri" w:cs="Arial"/>
          <w:spacing w:val="-1"/>
          <w:position w:val="-1"/>
          <w:szCs w:val="24"/>
        </w:rPr>
        <w:t>lo</w:t>
      </w:r>
      <w:r w:rsidRPr="004467E3">
        <w:rPr>
          <w:rFonts w:eastAsia="Calibri" w:cs="Arial"/>
          <w:spacing w:val="2"/>
          <w:position w:val="-1"/>
          <w:szCs w:val="24"/>
        </w:rPr>
        <w:t>m</w:t>
      </w:r>
      <w:r w:rsidRPr="004467E3">
        <w:rPr>
          <w:rFonts w:eastAsia="Calibri" w:cs="Arial"/>
          <w:position w:val="-1"/>
          <w:szCs w:val="24"/>
        </w:rPr>
        <w:t>o</w:t>
      </w:r>
      <w:r w:rsidRPr="004467E3">
        <w:rPr>
          <w:rFonts w:eastAsia="Calibri" w:cs="Arial"/>
          <w:spacing w:val="-1"/>
          <w:position w:val="-1"/>
          <w:szCs w:val="24"/>
        </w:rPr>
        <w:t>n</w:t>
      </w:r>
      <w:r w:rsidR="009537CC">
        <w:rPr>
          <w:rFonts w:eastAsia="Calibri" w:cs="Arial"/>
          <w:position w:val="-1"/>
          <w:szCs w:val="24"/>
        </w:rPr>
        <w:t xml:space="preserve">, </w:t>
      </w:r>
      <w:hyperlink r:id="rId50" w:tooltip="SolomonBJ@od.nih.gov" w:history="1">
        <w:r w:rsidRPr="009537CC">
          <w:rPr>
            <w:rStyle w:val="Hyperlink"/>
          </w:rPr>
          <w:t>SolomonBJ@od.nih.gov</w:t>
        </w:r>
      </w:hyperlink>
      <w:r w:rsidR="00943AFF" w:rsidRPr="00943AFF">
        <w:rPr>
          <w:rFonts w:eastAsia="Calibri" w:cs="Arial"/>
          <w:color w:val="0000FF"/>
          <w:position w:val="-1"/>
          <w:szCs w:val="24"/>
        </w:rPr>
        <w:t>.</w:t>
      </w:r>
    </w:p>
    <w:p w14:paraId="0195FE69" w14:textId="682A7908" w:rsidR="004C4D13" w:rsidRPr="000361C3" w:rsidRDefault="004C4D13" w:rsidP="00C0583B">
      <w:pPr>
        <w:spacing w:line="240" w:lineRule="auto"/>
        <w:rPr>
          <w:rFonts w:cs="Arial"/>
          <w:sz w:val="32"/>
          <w:szCs w:val="32"/>
        </w:rPr>
      </w:pPr>
      <w:r w:rsidRPr="004467E3">
        <w:rPr>
          <w:rFonts w:cs="Arial"/>
          <w:szCs w:val="24"/>
        </w:rPr>
        <w:t xml:space="preserve">If </w:t>
      </w:r>
      <w:r w:rsidRPr="004467E3">
        <w:rPr>
          <w:rFonts w:cs="Arial"/>
          <w:spacing w:val="-2"/>
          <w:szCs w:val="24"/>
        </w:rPr>
        <w:t>y</w:t>
      </w:r>
      <w:r w:rsidRPr="004467E3">
        <w:rPr>
          <w:rFonts w:cs="Arial"/>
          <w:szCs w:val="24"/>
        </w:rPr>
        <w:t>ou</w:t>
      </w:r>
      <w:r w:rsidRPr="004467E3">
        <w:rPr>
          <w:rFonts w:cs="Arial"/>
          <w:spacing w:val="2"/>
          <w:szCs w:val="24"/>
        </w:rPr>
        <w:t xml:space="preserve"> </w:t>
      </w:r>
      <w:r w:rsidRPr="004467E3">
        <w:rPr>
          <w:rFonts w:cs="Arial"/>
          <w:szCs w:val="24"/>
        </w:rPr>
        <w:t>ha</w:t>
      </w:r>
      <w:r w:rsidRPr="004467E3">
        <w:rPr>
          <w:rFonts w:cs="Arial"/>
          <w:spacing w:val="-2"/>
          <w:szCs w:val="24"/>
        </w:rPr>
        <w:t>v</w:t>
      </w:r>
      <w:r w:rsidRPr="004467E3">
        <w:rPr>
          <w:rFonts w:cs="Arial"/>
          <w:szCs w:val="24"/>
        </w:rPr>
        <w:t>e</w:t>
      </w:r>
      <w:r w:rsidRPr="004467E3">
        <w:rPr>
          <w:rFonts w:cs="Arial"/>
          <w:spacing w:val="2"/>
          <w:szCs w:val="24"/>
        </w:rPr>
        <w:t xml:space="preserve"> </w:t>
      </w:r>
      <w:r w:rsidRPr="004467E3">
        <w:rPr>
          <w:rFonts w:cs="Arial"/>
          <w:spacing w:val="-1"/>
          <w:szCs w:val="24"/>
        </w:rPr>
        <w:t>a</w:t>
      </w:r>
      <w:r w:rsidRPr="004467E3">
        <w:rPr>
          <w:rFonts w:cs="Arial"/>
          <w:szCs w:val="24"/>
        </w:rPr>
        <w:t>ny</w:t>
      </w:r>
      <w:r w:rsidRPr="004467E3">
        <w:rPr>
          <w:rFonts w:cs="Arial"/>
          <w:spacing w:val="-2"/>
          <w:szCs w:val="24"/>
        </w:rPr>
        <w:t xml:space="preserve"> </w:t>
      </w:r>
      <w:r w:rsidRPr="004467E3">
        <w:rPr>
          <w:rFonts w:cs="Arial"/>
          <w:spacing w:val="-1"/>
          <w:szCs w:val="24"/>
        </w:rPr>
        <w:t>q</w:t>
      </w:r>
      <w:r w:rsidRPr="004467E3">
        <w:rPr>
          <w:rFonts w:cs="Arial"/>
          <w:szCs w:val="24"/>
        </w:rPr>
        <w:t>uest</w:t>
      </w:r>
      <w:r w:rsidRPr="004467E3">
        <w:rPr>
          <w:rFonts w:cs="Arial"/>
          <w:spacing w:val="-1"/>
          <w:szCs w:val="24"/>
        </w:rPr>
        <w:t>i</w:t>
      </w:r>
      <w:r w:rsidRPr="004467E3">
        <w:rPr>
          <w:rFonts w:cs="Arial"/>
          <w:szCs w:val="24"/>
        </w:rPr>
        <w:t xml:space="preserve">ons or </w:t>
      </w:r>
      <w:r w:rsidRPr="004467E3">
        <w:rPr>
          <w:rFonts w:cs="Arial"/>
          <w:spacing w:val="-2"/>
          <w:szCs w:val="24"/>
        </w:rPr>
        <w:t>c</w:t>
      </w:r>
      <w:r w:rsidRPr="004467E3">
        <w:rPr>
          <w:rFonts w:cs="Arial"/>
          <w:szCs w:val="24"/>
        </w:rPr>
        <w:t>o</w:t>
      </w:r>
      <w:r w:rsidRPr="004467E3">
        <w:rPr>
          <w:rFonts w:cs="Arial"/>
          <w:spacing w:val="-1"/>
          <w:szCs w:val="24"/>
        </w:rPr>
        <w:t>m</w:t>
      </w:r>
      <w:r w:rsidRPr="004467E3">
        <w:rPr>
          <w:rFonts w:cs="Arial"/>
          <w:spacing w:val="2"/>
          <w:szCs w:val="24"/>
        </w:rPr>
        <w:t>m</w:t>
      </w:r>
      <w:r w:rsidRPr="004467E3">
        <w:rPr>
          <w:rFonts w:cs="Arial"/>
          <w:spacing w:val="-1"/>
          <w:szCs w:val="24"/>
        </w:rPr>
        <w:t>e</w:t>
      </w:r>
      <w:r w:rsidRPr="004467E3">
        <w:rPr>
          <w:rFonts w:cs="Arial"/>
          <w:szCs w:val="24"/>
        </w:rPr>
        <w:t xml:space="preserve">nts </w:t>
      </w:r>
      <w:r w:rsidRPr="004467E3">
        <w:rPr>
          <w:rFonts w:cs="Arial"/>
          <w:spacing w:val="-1"/>
          <w:szCs w:val="24"/>
        </w:rPr>
        <w:t>r</w:t>
      </w:r>
      <w:r w:rsidRPr="004467E3">
        <w:rPr>
          <w:rFonts w:cs="Arial"/>
          <w:szCs w:val="24"/>
        </w:rPr>
        <w:t>e</w:t>
      </w:r>
      <w:r w:rsidRPr="004467E3">
        <w:rPr>
          <w:rFonts w:cs="Arial"/>
          <w:spacing w:val="-2"/>
          <w:szCs w:val="24"/>
        </w:rPr>
        <w:t>g</w:t>
      </w:r>
      <w:r w:rsidRPr="004467E3">
        <w:rPr>
          <w:rFonts w:cs="Arial"/>
          <w:spacing w:val="-1"/>
          <w:szCs w:val="24"/>
        </w:rPr>
        <w:t>ar</w:t>
      </w:r>
      <w:r w:rsidRPr="004467E3">
        <w:rPr>
          <w:rFonts w:cs="Arial"/>
          <w:szCs w:val="24"/>
        </w:rPr>
        <w:t>d</w:t>
      </w:r>
      <w:r w:rsidRPr="004467E3">
        <w:rPr>
          <w:rFonts w:cs="Arial"/>
          <w:spacing w:val="-1"/>
          <w:szCs w:val="24"/>
        </w:rPr>
        <w:t>i</w:t>
      </w:r>
      <w:r w:rsidRPr="004467E3">
        <w:rPr>
          <w:rFonts w:cs="Arial"/>
          <w:szCs w:val="24"/>
        </w:rPr>
        <w:t>ng</w:t>
      </w:r>
      <w:r w:rsidRPr="004467E3">
        <w:rPr>
          <w:rFonts w:cs="Arial"/>
          <w:spacing w:val="-1"/>
          <w:szCs w:val="24"/>
        </w:rPr>
        <w:t xml:space="preserve"> </w:t>
      </w:r>
      <w:r w:rsidRPr="004467E3">
        <w:rPr>
          <w:rFonts w:cs="Arial"/>
          <w:szCs w:val="24"/>
        </w:rPr>
        <w:t>the</w:t>
      </w:r>
      <w:r w:rsidRPr="004467E3">
        <w:rPr>
          <w:rFonts w:cs="Arial"/>
          <w:spacing w:val="2"/>
          <w:szCs w:val="24"/>
        </w:rPr>
        <w:t xml:space="preserve"> </w:t>
      </w:r>
      <w:r w:rsidRPr="004467E3">
        <w:rPr>
          <w:rFonts w:cs="Arial"/>
          <w:spacing w:val="-1"/>
          <w:szCs w:val="24"/>
        </w:rPr>
        <w:t>in</w:t>
      </w:r>
      <w:r w:rsidRPr="004467E3">
        <w:rPr>
          <w:rFonts w:cs="Arial"/>
          <w:szCs w:val="24"/>
        </w:rPr>
        <w:t>fo</w:t>
      </w:r>
      <w:r w:rsidRPr="004467E3">
        <w:rPr>
          <w:rFonts w:cs="Arial"/>
          <w:spacing w:val="-1"/>
          <w:szCs w:val="24"/>
        </w:rPr>
        <w:t>rm</w:t>
      </w:r>
      <w:r w:rsidRPr="004467E3">
        <w:rPr>
          <w:rFonts w:cs="Arial"/>
          <w:szCs w:val="24"/>
        </w:rPr>
        <w:t>at</w:t>
      </w:r>
      <w:r w:rsidRPr="004467E3">
        <w:rPr>
          <w:rFonts w:cs="Arial"/>
          <w:spacing w:val="-1"/>
          <w:szCs w:val="24"/>
        </w:rPr>
        <w:t>i</w:t>
      </w:r>
      <w:r w:rsidRPr="004467E3">
        <w:rPr>
          <w:rFonts w:cs="Arial"/>
          <w:szCs w:val="24"/>
        </w:rPr>
        <w:t>o</w:t>
      </w:r>
      <w:r w:rsidRPr="004467E3">
        <w:rPr>
          <w:rFonts w:cs="Arial"/>
          <w:spacing w:val="-2"/>
          <w:szCs w:val="24"/>
        </w:rPr>
        <w:t>n</w:t>
      </w:r>
      <w:r w:rsidRPr="004467E3">
        <w:rPr>
          <w:rFonts w:cs="Arial"/>
          <w:szCs w:val="24"/>
        </w:rPr>
        <w:t xml:space="preserve">, </w:t>
      </w:r>
      <w:r w:rsidRPr="004467E3">
        <w:rPr>
          <w:rFonts w:cs="Arial"/>
          <w:spacing w:val="-1"/>
          <w:szCs w:val="24"/>
        </w:rPr>
        <w:t>p</w:t>
      </w:r>
      <w:r w:rsidRPr="004467E3">
        <w:rPr>
          <w:rFonts w:cs="Arial"/>
          <w:szCs w:val="24"/>
        </w:rPr>
        <w:t>o</w:t>
      </w:r>
      <w:r w:rsidRPr="004467E3">
        <w:rPr>
          <w:rFonts w:cs="Arial"/>
          <w:spacing w:val="-1"/>
          <w:szCs w:val="24"/>
        </w:rPr>
        <w:t>li</w:t>
      </w:r>
      <w:r w:rsidRPr="004467E3">
        <w:rPr>
          <w:rFonts w:cs="Arial"/>
          <w:szCs w:val="24"/>
        </w:rPr>
        <w:t>cy</w:t>
      </w:r>
      <w:r w:rsidRPr="004467E3">
        <w:rPr>
          <w:rFonts w:cs="Arial"/>
          <w:spacing w:val="-2"/>
          <w:szCs w:val="24"/>
        </w:rPr>
        <w:t xml:space="preserve"> </w:t>
      </w:r>
      <w:r w:rsidRPr="004467E3">
        <w:rPr>
          <w:rFonts w:cs="Arial"/>
          <w:szCs w:val="24"/>
        </w:rPr>
        <w:t>and/or p</w:t>
      </w:r>
      <w:r w:rsidRPr="004467E3">
        <w:rPr>
          <w:rFonts w:cs="Arial"/>
          <w:spacing w:val="-1"/>
          <w:szCs w:val="24"/>
        </w:rPr>
        <w:t>r</w:t>
      </w:r>
      <w:r w:rsidRPr="004467E3">
        <w:rPr>
          <w:rFonts w:cs="Arial"/>
          <w:szCs w:val="24"/>
        </w:rPr>
        <w:t>oce</w:t>
      </w:r>
      <w:r w:rsidRPr="004467E3">
        <w:rPr>
          <w:rFonts w:cs="Arial"/>
          <w:spacing w:val="-2"/>
          <w:szCs w:val="24"/>
        </w:rPr>
        <w:t>d</w:t>
      </w:r>
      <w:r w:rsidRPr="004467E3">
        <w:rPr>
          <w:rFonts w:cs="Arial"/>
          <w:szCs w:val="24"/>
        </w:rPr>
        <w:t>u</w:t>
      </w:r>
      <w:r w:rsidRPr="004467E3">
        <w:rPr>
          <w:rFonts w:cs="Arial"/>
          <w:spacing w:val="-1"/>
          <w:szCs w:val="24"/>
        </w:rPr>
        <w:t>r</w:t>
      </w:r>
      <w:r w:rsidRPr="004467E3">
        <w:rPr>
          <w:rFonts w:cs="Arial"/>
          <w:szCs w:val="24"/>
        </w:rPr>
        <w:t xml:space="preserve">es </w:t>
      </w:r>
      <w:r w:rsidRPr="004467E3">
        <w:rPr>
          <w:rFonts w:cs="Arial"/>
          <w:spacing w:val="-1"/>
          <w:szCs w:val="24"/>
        </w:rPr>
        <w:t>p</w:t>
      </w:r>
      <w:r w:rsidRPr="004467E3">
        <w:rPr>
          <w:rFonts w:cs="Arial"/>
          <w:szCs w:val="24"/>
        </w:rPr>
        <w:t>ub</w:t>
      </w:r>
      <w:r w:rsidRPr="004467E3">
        <w:rPr>
          <w:rFonts w:cs="Arial"/>
          <w:spacing w:val="-1"/>
          <w:szCs w:val="24"/>
        </w:rPr>
        <w:t>li</w:t>
      </w:r>
      <w:r w:rsidRPr="004467E3">
        <w:rPr>
          <w:rFonts w:cs="Arial"/>
          <w:szCs w:val="24"/>
        </w:rPr>
        <w:t>sh</w:t>
      </w:r>
      <w:r w:rsidRPr="004467E3">
        <w:rPr>
          <w:rFonts w:cs="Arial"/>
          <w:spacing w:val="-2"/>
          <w:szCs w:val="24"/>
        </w:rPr>
        <w:t>e</w:t>
      </w:r>
      <w:r w:rsidRPr="004467E3">
        <w:rPr>
          <w:rFonts w:cs="Arial"/>
          <w:szCs w:val="24"/>
        </w:rPr>
        <w:t>d</w:t>
      </w:r>
      <w:r w:rsidRPr="004467E3">
        <w:rPr>
          <w:rFonts w:cs="Arial"/>
          <w:spacing w:val="2"/>
          <w:szCs w:val="24"/>
        </w:rPr>
        <w:t xml:space="preserve"> </w:t>
      </w:r>
      <w:r w:rsidRPr="004467E3">
        <w:rPr>
          <w:rFonts w:cs="Arial"/>
          <w:spacing w:val="-3"/>
          <w:szCs w:val="24"/>
        </w:rPr>
        <w:t>i</w:t>
      </w:r>
      <w:r w:rsidRPr="004467E3">
        <w:rPr>
          <w:rFonts w:cs="Arial"/>
          <w:szCs w:val="24"/>
        </w:rPr>
        <w:t>n</w:t>
      </w:r>
      <w:r w:rsidRPr="004467E3">
        <w:rPr>
          <w:rFonts w:cs="Arial"/>
          <w:spacing w:val="2"/>
          <w:szCs w:val="24"/>
        </w:rPr>
        <w:t xml:space="preserve"> </w:t>
      </w:r>
      <w:r w:rsidRPr="004467E3">
        <w:rPr>
          <w:rFonts w:cs="Arial"/>
          <w:szCs w:val="24"/>
        </w:rPr>
        <w:t>th</w:t>
      </w:r>
      <w:r w:rsidRPr="004467E3">
        <w:rPr>
          <w:rFonts w:cs="Arial"/>
          <w:spacing w:val="-1"/>
          <w:szCs w:val="24"/>
        </w:rPr>
        <w:t>i</w:t>
      </w:r>
      <w:r w:rsidRPr="004467E3">
        <w:rPr>
          <w:rFonts w:cs="Arial"/>
          <w:szCs w:val="24"/>
        </w:rPr>
        <w:t xml:space="preserve">s </w:t>
      </w:r>
      <w:r w:rsidRPr="004467E3">
        <w:rPr>
          <w:rFonts w:cs="Arial"/>
          <w:spacing w:val="-1"/>
          <w:szCs w:val="24"/>
        </w:rPr>
        <w:t>i</w:t>
      </w:r>
      <w:r w:rsidRPr="004467E3">
        <w:rPr>
          <w:rFonts w:cs="Arial"/>
          <w:szCs w:val="24"/>
        </w:rPr>
        <w:t>ss</w:t>
      </w:r>
      <w:r w:rsidRPr="004467E3">
        <w:rPr>
          <w:rFonts w:cs="Arial"/>
          <w:spacing w:val="-1"/>
          <w:szCs w:val="24"/>
        </w:rPr>
        <w:t>u</w:t>
      </w:r>
      <w:r w:rsidRPr="004467E3">
        <w:rPr>
          <w:rFonts w:cs="Arial"/>
          <w:szCs w:val="24"/>
        </w:rPr>
        <w:t xml:space="preserve">e, </w:t>
      </w:r>
      <w:r w:rsidRPr="004467E3">
        <w:rPr>
          <w:rFonts w:cs="Arial"/>
          <w:spacing w:val="-2"/>
          <w:szCs w:val="24"/>
        </w:rPr>
        <w:t>y</w:t>
      </w:r>
      <w:r w:rsidRPr="004467E3">
        <w:rPr>
          <w:rFonts w:cs="Arial"/>
          <w:szCs w:val="24"/>
        </w:rPr>
        <w:t>ou</w:t>
      </w:r>
      <w:r w:rsidRPr="004467E3">
        <w:rPr>
          <w:rFonts w:cs="Arial"/>
          <w:spacing w:val="-1"/>
          <w:szCs w:val="24"/>
        </w:rPr>
        <w:t xml:space="preserve"> </w:t>
      </w:r>
      <w:r w:rsidRPr="004467E3">
        <w:rPr>
          <w:rFonts w:cs="Arial"/>
          <w:spacing w:val="2"/>
          <w:szCs w:val="24"/>
        </w:rPr>
        <w:t>m</w:t>
      </w:r>
      <w:r w:rsidRPr="004467E3">
        <w:rPr>
          <w:rFonts w:cs="Arial"/>
          <w:szCs w:val="24"/>
        </w:rPr>
        <w:t>ay</w:t>
      </w:r>
      <w:r w:rsidRPr="004467E3">
        <w:rPr>
          <w:rFonts w:cs="Arial"/>
          <w:spacing w:val="-2"/>
          <w:szCs w:val="24"/>
        </w:rPr>
        <w:t xml:space="preserve"> </w:t>
      </w:r>
      <w:r w:rsidRPr="004467E3">
        <w:rPr>
          <w:rFonts w:cs="Arial"/>
          <w:szCs w:val="24"/>
        </w:rPr>
        <w:t>conta</w:t>
      </w:r>
      <w:r w:rsidRPr="004467E3">
        <w:rPr>
          <w:rFonts w:cs="Arial"/>
          <w:spacing w:val="-2"/>
          <w:szCs w:val="24"/>
        </w:rPr>
        <w:t>c</w:t>
      </w:r>
      <w:r w:rsidRPr="004467E3">
        <w:rPr>
          <w:rFonts w:cs="Arial"/>
          <w:szCs w:val="24"/>
        </w:rPr>
        <w:t xml:space="preserve">t </w:t>
      </w:r>
      <w:r w:rsidR="007C3D6A">
        <w:rPr>
          <w:rFonts w:cs="Arial"/>
          <w:szCs w:val="24"/>
        </w:rPr>
        <w:t>Annette Romanesk</w:t>
      </w:r>
      <w:r w:rsidR="005773E4">
        <w:rPr>
          <w:rFonts w:cs="Arial"/>
          <w:szCs w:val="24"/>
        </w:rPr>
        <w:t xml:space="preserve"> </w:t>
      </w:r>
      <w:r w:rsidRPr="004467E3">
        <w:rPr>
          <w:rFonts w:cs="Arial"/>
          <w:szCs w:val="24"/>
        </w:rPr>
        <w:t>at t</w:t>
      </w:r>
      <w:r w:rsidRPr="004467E3">
        <w:rPr>
          <w:rFonts w:cs="Arial"/>
          <w:spacing w:val="-1"/>
          <w:szCs w:val="24"/>
        </w:rPr>
        <w:t>h</w:t>
      </w:r>
      <w:r w:rsidRPr="004467E3">
        <w:rPr>
          <w:rFonts w:cs="Arial"/>
          <w:szCs w:val="24"/>
        </w:rPr>
        <w:t>e</w:t>
      </w:r>
      <w:r w:rsidRPr="004467E3">
        <w:rPr>
          <w:rFonts w:cs="Arial"/>
          <w:spacing w:val="2"/>
          <w:szCs w:val="24"/>
        </w:rPr>
        <w:t xml:space="preserve"> </w:t>
      </w:r>
      <w:r w:rsidRPr="004467E3">
        <w:rPr>
          <w:rFonts w:cs="Arial"/>
          <w:szCs w:val="24"/>
        </w:rPr>
        <w:t>e</w:t>
      </w:r>
      <w:r w:rsidRPr="004467E3">
        <w:rPr>
          <w:rFonts w:cs="Arial"/>
          <w:spacing w:val="-3"/>
          <w:szCs w:val="24"/>
        </w:rPr>
        <w:t>-</w:t>
      </w:r>
      <w:r w:rsidRPr="004467E3">
        <w:rPr>
          <w:rFonts w:cs="Arial"/>
          <w:spacing w:val="2"/>
          <w:szCs w:val="24"/>
        </w:rPr>
        <w:t>m</w:t>
      </w:r>
      <w:r w:rsidRPr="004467E3">
        <w:rPr>
          <w:rFonts w:cs="Arial"/>
          <w:szCs w:val="24"/>
        </w:rPr>
        <w:t>ail add</w:t>
      </w:r>
      <w:r w:rsidRPr="004467E3">
        <w:rPr>
          <w:rFonts w:cs="Arial"/>
          <w:spacing w:val="-1"/>
          <w:szCs w:val="24"/>
        </w:rPr>
        <w:t>r</w:t>
      </w:r>
      <w:r w:rsidRPr="004467E3">
        <w:rPr>
          <w:rFonts w:cs="Arial"/>
          <w:szCs w:val="24"/>
        </w:rPr>
        <w:t>ess</w:t>
      </w:r>
      <w:r w:rsidRPr="004467E3">
        <w:rPr>
          <w:rFonts w:cs="Arial"/>
          <w:spacing w:val="-2"/>
          <w:szCs w:val="24"/>
        </w:rPr>
        <w:t xml:space="preserve"> </w:t>
      </w:r>
      <w:r w:rsidRPr="004467E3">
        <w:rPr>
          <w:rFonts w:cs="Arial"/>
          <w:szCs w:val="24"/>
        </w:rPr>
        <w:t>a</w:t>
      </w:r>
      <w:r w:rsidRPr="004467E3">
        <w:rPr>
          <w:rFonts w:cs="Arial"/>
          <w:spacing w:val="-2"/>
          <w:szCs w:val="24"/>
        </w:rPr>
        <w:t>b</w:t>
      </w:r>
      <w:r w:rsidRPr="004467E3">
        <w:rPr>
          <w:rFonts w:cs="Arial"/>
          <w:szCs w:val="24"/>
        </w:rPr>
        <w:t>o</w:t>
      </w:r>
      <w:r w:rsidRPr="004467E3">
        <w:rPr>
          <w:rFonts w:cs="Arial"/>
          <w:spacing w:val="-2"/>
          <w:szCs w:val="24"/>
        </w:rPr>
        <w:t>v</w:t>
      </w:r>
      <w:r w:rsidRPr="004467E3">
        <w:rPr>
          <w:rFonts w:cs="Arial"/>
          <w:szCs w:val="24"/>
        </w:rPr>
        <w:t>e. For</w:t>
      </w:r>
      <w:r w:rsidRPr="004467E3">
        <w:rPr>
          <w:rFonts w:cs="Arial"/>
          <w:spacing w:val="-2"/>
          <w:szCs w:val="24"/>
        </w:rPr>
        <w:t xml:space="preserve"> </w:t>
      </w:r>
      <w:r w:rsidRPr="004467E3">
        <w:rPr>
          <w:rFonts w:cs="Arial"/>
          <w:spacing w:val="3"/>
          <w:szCs w:val="24"/>
        </w:rPr>
        <w:t>f</w:t>
      </w:r>
      <w:r w:rsidRPr="004467E3">
        <w:rPr>
          <w:rFonts w:cs="Arial"/>
          <w:spacing w:val="-1"/>
          <w:szCs w:val="24"/>
        </w:rPr>
        <w:t>u</w:t>
      </w:r>
      <w:r w:rsidRPr="004467E3">
        <w:rPr>
          <w:rFonts w:cs="Arial"/>
          <w:szCs w:val="24"/>
        </w:rPr>
        <w:t>tu</w:t>
      </w:r>
      <w:r w:rsidRPr="004467E3">
        <w:rPr>
          <w:rFonts w:cs="Arial"/>
          <w:spacing w:val="-1"/>
          <w:szCs w:val="24"/>
        </w:rPr>
        <w:t>r</w:t>
      </w:r>
      <w:r w:rsidRPr="004467E3">
        <w:rPr>
          <w:rFonts w:cs="Arial"/>
          <w:szCs w:val="24"/>
        </w:rPr>
        <w:t>e</w:t>
      </w:r>
      <w:r w:rsidRPr="004467E3">
        <w:rPr>
          <w:rFonts w:cs="Arial"/>
          <w:spacing w:val="2"/>
          <w:szCs w:val="24"/>
        </w:rPr>
        <w:t xml:space="preserve"> </w:t>
      </w:r>
      <w:r w:rsidRPr="004467E3">
        <w:rPr>
          <w:rFonts w:cs="Arial"/>
          <w:spacing w:val="-1"/>
          <w:szCs w:val="24"/>
        </w:rPr>
        <w:t>i</w:t>
      </w:r>
      <w:r w:rsidRPr="004467E3">
        <w:rPr>
          <w:rFonts w:cs="Arial"/>
          <w:szCs w:val="24"/>
        </w:rPr>
        <w:t>ssues</w:t>
      </w:r>
      <w:r w:rsidRPr="004467E3">
        <w:rPr>
          <w:rFonts w:cs="Arial"/>
          <w:spacing w:val="-2"/>
          <w:szCs w:val="24"/>
        </w:rPr>
        <w:t xml:space="preserve"> </w:t>
      </w:r>
      <w:r w:rsidRPr="004467E3">
        <w:rPr>
          <w:rFonts w:cs="Arial"/>
          <w:szCs w:val="24"/>
        </w:rPr>
        <w:t>p</w:t>
      </w:r>
      <w:r w:rsidRPr="004467E3">
        <w:rPr>
          <w:rFonts w:cs="Arial"/>
          <w:spacing w:val="-1"/>
          <w:szCs w:val="24"/>
        </w:rPr>
        <w:t>le</w:t>
      </w:r>
      <w:r w:rsidRPr="004467E3">
        <w:rPr>
          <w:rFonts w:cs="Arial"/>
          <w:szCs w:val="24"/>
        </w:rPr>
        <w:t>ase</w:t>
      </w:r>
      <w:r w:rsidRPr="004467E3">
        <w:rPr>
          <w:rFonts w:cs="Arial"/>
          <w:spacing w:val="2"/>
          <w:szCs w:val="24"/>
        </w:rPr>
        <w:t xml:space="preserve"> </w:t>
      </w:r>
      <w:r w:rsidRPr="004467E3">
        <w:rPr>
          <w:rFonts w:cs="Arial"/>
          <w:spacing w:val="-2"/>
          <w:szCs w:val="24"/>
        </w:rPr>
        <w:t>c</w:t>
      </w:r>
      <w:r w:rsidRPr="004467E3">
        <w:rPr>
          <w:rFonts w:cs="Arial"/>
          <w:szCs w:val="24"/>
        </w:rPr>
        <w:t>on</w:t>
      </w:r>
      <w:r w:rsidRPr="004467E3">
        <w:rPr>
          <w:rFonts w:cs="Arial"/>
          <w:spacing w:val="-2"/>
          <w:szCs w:val="24"/>
        </w:rPr>
        <w:t>t</w:t>
      </w:r>
      <w:r w:rsidRPr="004467E3">
        <w:rPr>
          <w:rFonts w:cs="Arial"/>
          <w:szCs w:val="24"/>
        </w:rPr>
        <w:t>act t</w:t>
      </w:r>
      <w:r w:rsidRPr="004467E3">
        <w:rPr>
          <w:rFonts w:cs="Arial"/>
          <w:spacing w:val="-1"/>
          <w:szCs w:val="24"/>
        </w:rPr>
        <w:t>h</w:t>
      </w:r>
      <w:r w:rsidRPr="004467E3">
        <w:rPr>
          <w:rFonts w:cs="Arial"/>
          <w:szCs w:val="24"/>
        </w:rPr>
        <w:t>e</w:t>
      </w:r>
      <w:r w:rsidRPr="004467E3">
        <w:rPr>
          <w:rFonts w:cs="Arial"/>
          <w:spacing w:val="2"/>
          <w:szCs w:val="24"/>
        </w:rPr>
        <w:t xml:space="preserve"> </w:t>
      </w:r>
      <w:r w:rsidRPr="004467E3">
        <w:rPr>
          <w:rFonts w:cs="Arial"/>
          <w:szCs w:val="24"/>
        </w:rPr>
        <w:t>S</w:t>
      </w:r>
      <w:r w:rsidRPr="004467E3">
        <w:rPr>
          <w:rFonts w:cs="Arial"/>
          <w:spacing w:val="-3"/>
          <w:szCs w:val="24"/>
        </w:rPr>
        <w:t>i</w:t>
      </w:r>
      <w:r w:rsidRPr="004467E3">
        <w:rPr>
          <w:rFonts w:cs="Arial"/>
          <w:spacing w:val="2"/>
          <w:szCs w:val="24"/>
        </w:rPr>
        <w:t>m</w:t>
      </w:r>
      <w:r w:rsidRPr="004467E3">
        <w:rPr>
          <w:rFonts w:cs="Arial"/>
          <w:szCs w:val="24"/>
        </w:rPr>
        <w:t>p</w:t>
      </w:r>
      <w:r w:rsidRPr="004467E3">
        <w:rPr>
          <w:rFonts w:cs="Arial"/>
          <w:spacing w:val="-1"/>
          <w:szCs w:val="24"/>
        </w:rPr>
        <w:t>l</w:t>
      </w:r>
      <w:r w:rsidRPr="004467E3">
        <w:rPr>
          <w:rFonts w:cs="Arial"/>
          <w:spacing w:val="-3"/>
          <w:szCs w:val="24"/>
        </w:rPr>
        <w:t>i</w:t>
      </w:r>
      <w:r w:rsidRPr="004467E3">
        <w:rPr>
          <w:rFonts w:cs="Arial"/>
          <w:spacing w:val="3"/>
          <w:szCs w:val="24"/>
        </w:rPr>
        <w:t>f</w:t>
      </w:r>
      <w:r w:rsidRPr="004467E3">
        <w:rPr>
          <w:rFonts w:cs="Arial"/>
          <w:spacing w:val="-1"/>
          <w:szCs w:val="24"/>
        </w:rPr>
        <w:t>i</w:t>
      </w:r>
      <w:r w:rsidRPr="004467E3">
        <w:rPr>
          <w:rFonts w:cs="Arial"/>
          <w:szCs w:val="24"/>
        </w:rPr>
        <w:t>ed</w:t>
      </w:r>
      <w:r w:rsidRPr="004467E3">
        <w:rPr>
          <w:rFonts w:cs="Arial"/>
          <w:spacing w:val="-1"/>
          <w:szCs w:val="24"/>
        </w:rPr>
        <w:t xml:space="preserve"> </w:t>
      </w:r>
      <w:r w:rsidRPr="004467E3">
        <w:rPr>
          <w:rFonts w:cs="Arial"/>
          <w:szCs w:val="24"/>
        </w:rPr>
        <w:t>Ac</w:t>
      </w:r>
      <w:r w:rsidRPr="004467E3">
        <w:rPr>
          <w:rFonts w:cs="Arial"/>
          <w:spacing w:val="-1"/>
          <w:szCs w:val="24"/>
        </w:rPr>
        <w:t>qui</w:t>
      </w:r>
      <w:r w:rsidRPr="004467E3">
        <w:rPr>
          <w:rFonts w:cs="Arial"/>
          <w:szCs w:val="24"/>
        </w:rPr>
        <w:t>s</w:t>
      </w:r>
      <w:r w:rsidRPr="004467E3">
        <w:rPr>
          <w:rFonts w:cs="Arial"/>
          <w:spacing w:val="-1"/>
          <w:szCs w:val="24"/>
        </w:rPr>
        <w:t>i</w:t>
      </w:r>
      <w:r w:rsidRPr="004467E3">
        <w:rPr>
          <w:rFonts w:cs="Arial"/>
          <w:szCs w:val="24"/>
        </w:rPr>
        <w:t>t</w:t>
      </w:r>
      <w:r w:rsidRPr="004467E3">
        <w:rPr>
          <w:rFonts w:cs="Arial"/>
          <w:spacing w:val="-1"/>
          <w:szCs w:val="24"/>
        </w:rPr>
        <w:t>i</w:t>
      </w:r>
      <w:r w:rsidRPr="004467E3">
        <w:rPr>
          <w:rFonts w:cs="Arial"/>
          <w:szCs w:val="24"/>
        </w:rPr>
        <w:t xml:space="preserve">ons </w:t>
      </w:r>
      <w:r w:rsidRPr="004467E3">
        <w:rPr>
          <w:rFonts w:cs="Arial"/>
          <w:spacing w:val="-1"/>
          <w:szCs w:val="24"/>
        </w:rPr>
        <w:t>H</w:t>
      </w:r>
      <w:r w:rsidRPr="004467E3">
        <w:rPr>
          <w:rFonts w:cs="Arial"/>
          <w:szCs w:val="24"/>
        </w:rPr>
        <w:t>e</w:t>
      </w:r>
      <w:r w:rsidRPr="004467E3">
        <w:rPr>
          <w:rFonts w:cs="Arial"/>
          <w:spacing w:val="-1"/>
          <w:szCs w:val="24"/>
        </w:rPr>
        <w:t>l</w:t>
      </w:r>
      <w:r w:rsidRPr="004467E3">
        <w:rPr>
          <w:rFonts w:cs="Arial"/>
          <w:szCs w:val="24"/>
        </w:rPr>
        <w:t>p</w:t>
      </w:r>
      <w:r w:rsidRPr="004467E3">
        <w:rPr>
          <w:rFonts w:cs="Arial"/>
          <w:spacing w:val="-1"/>
          <w:szCs w:val="24"/>
        </w:rPr>
        <w:t>li</w:t>
      </w:r>
      <w:r w:rsidRPr="004467E3">
        <w:rPr>
          <w:rFonts w:cs="Arial"/>
          <w:szCs w:val="24"/>
        </w:rPr>
        <w:t>ne</w:t>
      </w:r>
      <w:r w:rsidRPr="004467E3">
        <w:rPr>
          <w:rFonts w:cs="Arial"/>
          <w:spacing w:val="-1"/>
          <w:szCs w:val="24"/>
        </w:rPr>
        <w:t xml:space="preserve"> </w:t>
      </w:r>
      <w:r w:rsidRPr="004467E3">
        <w:rPr>
          <w:rFonts w:cs="Arial"/>
          <w:szCs w:val="24"/>
        </w:rPr>
        <w:t>on 301</w:t>
      </w:r>
      <w:r w:rsidRPr="004467E3">
        <w:rPr>
          <w:rFonts w:cs="Arial"/>
          <w:spacing w:val="-1"/>
          <w:szCs w:val="24"/>
        </w:rPr>
        <w:t>-4</w:t>
      </w:r>
      <w:r w:rsidRPr="004467E3">
        <w:rPr>
          <w:rFonts w:cs="Arial"/>
          <w:szCs w:val="24"/>
        </w:rPr>
        <w:t>96</w:t>
      </w:r>
      <w:r w:rsidRPr="004467E3">
        <w:rPr>
          <w:rFonts w:cs="Arial"/>
          <w:spacing w:val="-1"/>
          <w:szCs w:val="24"/>
        </w:rPr>
        <w:t>-</w:t>
      </w:r>
      <w:r w:rsidRPr="004467E3">
        <w:rPr>
          <w:rFonts w:cs="Arial"/>
          <w:szCs w:val="24"/>
        </w:rPr>
        <w:t>0</w:t>
      </w:r>
      <w:r w:rsidRPr="004467E3">
        <w:rPr>
          <w:rFonts w:cs="Arial"/>
          <w:spacing w:val="-2"/>
          <w:szCs w:val="24"/>
        </w:rPr>
        <w:t>4</w:t>
      </w:r>
      <w:r w:rsidRPr="004467E3">
        <w:rPr>
          <w:rFonts w:cs="Arial"/>
          <w:szCs w:val="24"/>
        </w:rPr>
        <w:t>00</w:t>
      </w:r>
      <w:r w:rsidRPr="004467E3">
        <w:rPr>
          <w:rFonts w:cs="Arial"/>
          <w:spacing w:val="-1"/>
          <w:szCs w:val="24"/>
        </w:rPr>
        <w:t xml:space="preserve"> </w:t>
      </w:r>
      <w:r w:rsidRPr="004467E3">
        <w:rPr>
          <w:rFonts w:cs="Arial"/>
          <w:szCs w:val="24"/>
        </w:rPr>
        <w:t xml:space="preserve">or </w:t>
      </w:r>
      <w:r w:rsidRPr="004467E3">
        <w:rPr>
          <w:rFonts w:cs="Arial"/>
          <w:spacing w:val="-2"/>
          <w:szCs w:val="24"/>
        </w:rPr>
        <w:t>v</w:t>
      </w:r>
      <w:r w:rsidRPr="004467E3">
        <w:rPr>
          <w:rFonts w:cs="Arial"/>
          <w:spacing w:val="-1"/>
          <w:szCs w:val="24"/>
        </w:rPr>
        <w:t>i</w:t>
      </w:r>
      <w:r w:rsidRPr="004467E3">
        <w:rPr>
          <w:rFonts w:cs="Arial"/>
          <w:szCs w:val="24"/>
        </w:rPr>
        <w:t>a</w:t>
      </w:r>
      <w:r w:rsidRPr="004467E3">
        <w:rPr>
          <w:rFonts w:cs="Arial"/>
          <w:spacing w:val="2"/>
          <w:szCs w:val="24"/>
        </w:rPr>
        <w:t xml:space="preserve"> </w:t>
      </w:r>
      <w:r w:rsidRPr="004467E3">
        <w:rPr>
          <w:rFonts w:cs="Arial"/>
          <w:szCs w:val="24"/>
        </w:rPr>
        <w:t>e</w:t>
      </w:r>
      <w:r w:rsidRPr="004467E3">
        <w:rPr>
          <w:rFonts w:cs="Arial"/>
          <w:spacing w:val="-1"/>
          <w:szCs w:val="24"/>
        </w:rPr>
        <w:t>-</w:t>
      </w:r>
      <w:r w:rsidRPr="004467E3">
        <w:rPr>
          <w:rFonts w:cs="Arial"/>
          <w:spacing w:val="2"/>
          <w:szCs w:val="24"/>
        </w:rPr>
        <w:t>m</w:t>
      </w:r>
      <w:r w:rsidRPr="004467E3">
        <w:rPr>
          <w:rFonts w:cs="Arial"/>
          <w:szCs w:val="24"/>
        </w:rPr>
        <w:t xml:space="preserve">ail at </w:t>
      </w:r>
      <w:hyperlink r:id="rId51" w:tooltip="OALMnewsletter@mail.nih.gov" w:history="1">
        <w:r w:rsidR="00F43FDC">
          <w:rPr>
            <w:rStyle w:val="Hyperlink"/>
            <w:rFonts w:cs="Arial"/>
            <w:szCs w:val="24"/>
          </w:rPr>
          <w:t>OALMnewsletter@mail.nih.gov</w:t>
        </w:r>
      </w:hyperlink>
      <w:hyperlink>
        <w:r w:rsidR="00C801C6">
          <w:rPr>
            <w:rFonts w:cs="Arial"/>
            <w:color w:val="000000"/>
            <w:szCs w:val="24"/>
          </w:rPr>
          <w:t xml:space="preserve"> a</w:t>
        </w:r>
        <w:r w:rsidRPr="004467E3">
          <w:rPr>
            <w:rFonts w:cs="Arial"/>
            <w:color w:val="000000"/>
            <w:szCs w:val="24"/>
          </w:rPr>
          <w:t>nd</w:t>
        </w:r>
        <w:r w:rsidRPr="004467E3">
          <w:rPr>
            <w:rFonts w:cs="Arial"/>
            <w:color w:val="000000"/>
            <w:spacing w:val="-1"/>
            <w:szCs w:val="24"/>
          </w:rPr>
          <w:t xml:space="preserve"> </w:t>
        </w:r>
        <w:r w:rsidRPr="004467E3">
          <w:rPr>
            <w:rFonts w:cs="Arial"/>
            <w:color w:val="000000"/>
            <w:spacing w:val="-2"/>
            <w:szCs w:val="24"/>
          </w:rPr>
          <w:t>y</w:t>
        </w:r>
        <w:r w:rsidRPr="004467E3">
          <w:rPr>
            <w:rFonts w:cs="Arial"/>
            <w:color w:val="000000"/>
            <w:szCs w:val="24"/>
          </w:rPr>
          <w:t>ou</w:t>
        </w:r>
        <w:r w:rsidRPr="004467E3">
          <w:rPr>
            <w:rFonts w:cs="Arial"/>
            <w:color w:val="000000"/>
            <w:spacing w:val="2"/>
            <w:szCs w:val="24"/>
          </w:rPr>
          <w:t xml:space="preserve"> </w:t>
        </w:r>
        <w:r w:rsidRPr="004467E3">
          <w:rPr>
            <w:rFonts w:cs="Arial"/>
            <w:color w:val="000000"/>
            <w:spacing w:val="-3"/>
            <w:szCs w:val="24"/>
          </w:rPr>
          <w:t>w</w:t>
        </w:r>
        <w:r w:rsidRPr="004467E3">
          <w:rPr>
            <w:rFonts w:cs="Arial"/>
            <w:color w:val="000000"/>
            <w:spacing w:val="-1"/>
            <w:szCs w:val="24"/>
          </w:rPr>
          <w:t>il</w:t>
        </w:r>
        <w:r w:rsidRPr="004467E3">
          <w:rPr>
            <w:rFonts w:cs="Arial"/>
            <w:color w:val="000000"/>
            <w:szCs w:val="24"/>
          </w:rPr>
          <w:t xml:space="preserve">l be </w:t>
        </w:r>
        <w:r w:rsidRPr="004467E3">
          <w:rPr>
            <w:rFonts w:cs="Arial"/>
            <w:color w:val="000000"/>
            <w:spacing w:val="-1"/>
            <w:szCs w:val="24"/>
          </w:rPr>
          <w:t>r</w:t>
        </w:r>
        <w:r w:rsidRPr="004467E3">
          <w:rPr>
            <w:rFonts w:cs="Arial"/>
            <w:color w:val="000000"/>
            <w:szCs w:val="24"/>
          </w:rPr>
          <w:t>efe</w:t>
        </w:r>
        <w:r w:rsidRPr="004467E3">
          <w:rPr>
            <w:rFonts w:cs="Arial"/>
            <w:color w:val="000000"/>
            <w:spacing w:val="-1"/>
            <w:szCs w:val="24"/>
          </w:rPr>
          <w:t>rr</w:t>
        </w:r>
        <w:r w:rsidRPr="004467E3">
          <w:rPr>
            <w:rFonts w:cs="Arial"/>
            <w:color w:val="000000"/>
            <w:szCs w:val="24"/>
          </w:rPr>
          <w:t>ed</w:t>
        </w:r>
        <w:r w:rsidRPr="004467E3">
          <w:rPr>
            <w:rFonts w:cs="Arial"/>
            <w:color w:val="000000"/>
            <w:spacing w:val="2"/>
            <w:szCs w:val="24"/>
          </w:rPr>
          <w:t xml:space="preserve"> </w:t>
        </w:r>
        <w:r w:rsidRPr="004467E3">
          <w:rPr>
            <w:rFonts w:cs="Arial"/>
            <w:color w:val="000000"/>
            <w:spacing w:val="-2"/>
            <w:szCs w:val="24"/>
          </w:rPr>
          <w:t>t</w:t>
        </w:r>
        <w:r w:rsidRPr="004467E3">
          <w:rPr>
            <w:rFonts w:cs="Arial"/>
            <w:color w:val="000000"/>
            <w:szCs w:val="24"/>
          </w:rPr>
          <w:t>o</w:t>
        </w:r>
        <w:r w:rsidRPr="004467E3">
          <w:rPr>
            <w:rFonts w:cs="Arial"/>
            <w:color w:val="000000"/>
            <w:spacing w:val="2"/>
            <w:szCs w:val="24"/>
          </w:rPr>
          <w:t xml:space="preserve"> </w:t>
        </w:r>
        <w:r w:rsidRPr="004467E3">
          <w:rPr>
            <w:rFonts w:cs="Arial"/>
            <w:color w:val="000000"/>
            <w:szCs w:val="24"/>
          </w:rPr>
          <w:t>t</w:t>
        </w:r>
        <w:r w:rsidRPr="004467E3">
          <w:rPr>
            <w:rFonts w:cs="Arial"/>
            <w:color w:val="000000"/>
            <w:spacing w:val="-1"/>
            <w:szCs w:val="24"/>
          </w:rPr>
          <w:t>h</w:t>
        </w:r>
        <w:r w:rsidRPr="004467E3">
          <w:rPr>
            <w:rFonts w:cs="Arial"/>
            <w:color w:val="000000"/>
            <w:szCs w:val="24"/>
          </w:rPr>
          <w:t>e</w:t>
        </w:r>
        <w:r w:rsidRPr="004467E3">
          <w:rPr>
            <w:rFonts w:cs="Arial"/>
            <w:color w:val="000000"/>
            <w:spacing w:val="2"/>
            <w:szCs w:val="24"/>
          </w:rPr>
          <w:t xml:space="preserve"> </w:t>
        </w:r>
        <w:r w:rsidRPr="004467E3">
          <w:rPr>
            <w:rFonts w:cs="Arial"/>
            <w:color w:val="000000"/>
            <w:spacing w:val="-1"/>
            <w:szCs w:val="24"/>
          </w:rPr>
          <w:t>a</w:t>
        </w:r>
        <w:r w:rsidRPr="004467E3">
          <w:rPr>
            <w:rFonts w:cs="Arial"/>
            <w:color w:val="000000"/>
            <w:szCs w:val="24"/>
          </w:rPr>
          <w:t>pp</w:t>
        </w:r>
        <w:r w:rsidRPr="004467E3">
          <w:rPr>
            <w:rFonts w:cs="Arial"/>
            <w:color w:val="000000"/>
            <w:spacing w:val="-1"/>
            <w:szCs w:val="24"/>
          </w:rPr>
          <w:t>ro</w:t>
        </w:r>
        <w:r w:rsidRPr="004467E3">
          <w:rPr>
            <w:rFonts w:cs="Arial"/>
            <w:color w:val="000000"/>
            <w:szCs w:val="24"/>
          </w:rPr>
          <w:t>p</w:t>
        </w:r>
        <w:r w:rsidRPr="004467E3">
          <w:rPr>
            <w:rFonts w:cs="Arial"/>
            <w:color w:val="000000"/>
            <w:spacing w:val="-1"/>
            <w:szCs w:val="24"/>
          </w:rPr>
          <w:t>ri</w:t>
        </w:r>
        <w:r w:rsidRPr="004467E3">
          <w:rPr>
            <w:rFonts w:cs="Arial"/>
            <w:color w:val="000000"/>
            <w:szCs w:val="24"/>
          </w:rPr>
          <w:t>ate</w:t>
        </w:r>
        <w:r w:rsidRPr="004467E3">
          <w:rPr>
            <w:rFonts w:cs="Arial"/>
            <w:color w:val="000000"/>
            <w:spacing w:val="-1"/>
            <w:szCs w:val="24"/>
          </w:rPr>
          <w:t xml:space="preserve"> </w:t>
        </w:r>
        <w:r w:rsidRPr="004467E3">
          <w:rPr>
            <w:rFonts w:cs="Arial"/>
            <w:color w:val="000000"/>
            <w:szCs w:val="24"/>
          </w:rPr>
          <w:t>ed</w:t>
        </w:r>
        <w:r w:rsidRPr="004467E3">
          <w:rPr>
            <w:rFonts w:cs="Arial"/>
            <w:color w:val="000000"/>
            <w:spacing w:val="-1"/>
            <w:szCs w:val="24"/>
          </w:rPr>
          <w:t>i</w:t>
        </w:r>
        <w:r w:rsidRPr="004467E3">
          <w:rPr>
            <w:rFonts w:cs="Arial"/>
            <w:color w:val="000000"/>
            <w:szCs w:val="24"/>
          </w:rPr>
          <w:t>to</w:t>
        </w:r>
        <w:r w:rsidRPr="004467E3">
          <w:rPr>
            <w:rFonts w:cs="Arial"/>
            <w:color w:val="000000"/>
            <w:spacing w:val="-1"/>
            <w:szCs w:val="24"/>
          </w:rPr>
          <w:t>r</w:t>
        </w:r>
        <w:r w:rsidRPr="004467E3">
          <w:rPr>
            <w:rFonts w:cs="Arial"/>
            <w:color w:val="000000"/>
            <w:szCs w:val="24"/>
          </w:rPr>
          <w:t>.</w:t>
        </w:r>
      </w:hyperlink>
      <w:r w:rsidR="004467E3">
        <w:t xml:space="preserve"> </w:t>
      </w:r>
    </w:p>
    <w:sectPr w:rsidR="004C4D13" w:rsidRPr="000361C3" w:rsidSect="00A52FC9">
      <w:headerReference w:type="default" r:id="rId52"/>
      <w:footerReference w:type="default" r:id="rId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9C257" w14:textId="77777777" w:rsidR="001933C8" w:rsidRDefault="001933C8" w:rsidP="004C4D13">
      <w:pPr>
        <w:spacing w:line="240" w:lineRule="auto"/>
      </w:pPr>
      <w:r>
        <w:separator/>
      </w:r>
    </w:p>
  </w:endnote>
  <w:endnote w:type="continuationSeparator" w:id="0">
    <w:p w14:paraId="38BD4357" w14:textId="77777777" w:rsidR="001933C8" w:rsidRDefault="001933C8" w:rsidP="004C4D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6845244"/>
      <w:docPartObj>
        <w:docPartGallery w:val="Page Numbers (Bottom of Page)"/>
        <w:docPartUnique/>
      </w:docPartObj>
    </w:sdtPr>
    <w:sdtEndPr>
      <w:rPr>
        <w:noProof/>
      </w:rPr>
    </w:sdtEndPr>
    <w:sdtContent>
      <w:p w14:paraId="428A5336" w14:textId="77777777" w:rsidR="008F5D18" w:rsidRDefault="008F5D18">
        <w:pPr>
          <w:pStyle w:val="Footer"/>
          <w:jc w:val="right"/>
        </w:pPr>
        <w:r>
          <w:fldChar w:fldCharType="begin"/>
        </w:r>
        <w:r>
          <w:instrText xml:space="preserve"> PAGE   \* MERGEFORMAT </w:instrText>
        </w:r>
        <w:r>
          <w:fldChar w:fldCharType="separate"/>
        </w:r>
        <w:r w:rsidR="00AE4F9B">
          <w:rPr>
            <w:noProof/>
          </w:rPr>
          <w:t>6</w:t>
        </w:r>
        <w:r>
          <w:rPr>
            <w:noProof/>
          </w:rPr>
          <w:fldChar w:fldCharType="end"/>
        </w:r>
      </w:p>
    </w:sdtContent>
  </w:sdt>
  <w:p w14:paraId="4FA723FF" w14:textId="77777777" w:rsidR="008F5D18" w:rsidRDefault="008F5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AF718" w14:textId="77777777" w:rsidR="001933C8" w:rsidRDefault="001933C8" w:rsidP="004C4D13">
      <w:pPr>
        <w:spacing w:line="240" w:lineRule="auto"/>
      </w:pPr>
      <w:r>
        <w:separator/>
      </w:r>
    </w:p>
  </w:footnote>
  <w:footnote w:type="continuationSeparator" w:id="0">
    <w:p w14:paraId="4E19D1A3" w14:textId="77777777" w:rsidR="001933C8" w:rsidRDefault="001933C8" w:rsidP="004C4D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B4660" w14:textId="77777777" w:rsidR="004C4D13" w:rsidRPr="00286159" w:rsidRDefault="004C4D13" w:rsidP="00286159">
    <w:pPr>
      <w:jc w:val="center"/>
      <w:rPr>
        <w:rStyle w:val="Strong"/>
        <w:rFonts w:cs="Arial"/>
        <w:sz w:val="32"/>
        <w:szCs w:val="32"/>
      </w:rPr>
    </w:pPr>
    <w:r w:rsidRPr="00286159">
      <w:rPr>
        <w:rStyle w:val="Strong"/>
        <w:rFonts w:cs="Arial"/>
        <w:sz w:val="32"/>
        <w:szCs w:val="32"/>
      </w:rPr>
      <w:t>The Office of Acquisition and Logistics</w:t>
    </w:r>
  </w:p>
  <w:p w14:paraId="63A7C65C" w14:textId="5486527E" w:rsidR="004C4D13" w:rsidRPr="00286159" w:rsidRDefault="00E2565C" w:rsidP="00286159">
    <w:pPr>
      <w:jc w:val="center"/>
      <w:rPr>
        <w:rStyle w:val="Strong"/>
        <w:rFonts w:cs="Arial"/>
        <w:sz w:val="32"/>
        <w:szCs w:val="32"/>
      </w:rPr>
    </w:pPr>
    <w:r w:rsidRPr="00286159">
      <w:rPr>
        <w:rStyle w:val="Strong"/>
        <w:rFonts w:cs="Arial"/>
        <w:sz w:val="32"/>
        <w:szCs w:val="32"/>
      </w:rPr>
      <w:t>Man</w:t>
    </w:r>
    <w:r w:rsidR="00293CD1">
      <w:rPr>
        <w:rStyle w:val="Strong"/>
        <w:rFonts w:cs="Arial"/>
        <w:sz w:val="32"/>
        <w:szCs w:val="32"/>
      </w:rPr>
      <w:t xml:space="preserve">agement Newsletter – </w:t>
    </w:r>
    <w:r w:rsidR="007C3D6A">
      <w:rPr>
        <w:rStyle w:val="Strong"/>
        <w:rFonts w:cs="Arial"/>
        <w:sz w:val="32"/>
        <w:szCs w:val="32"/>
      </w:rPr>
      <w:t>July/August</w:t>
    </w:r>
    <w:r w:rsidR="00293CD1">
      <w:rPr>
        <w:rStyle w:val="Strong"/>
        <w:rFonts w:cs="Arial"/>
        <w:sz w:val="32"/>
        <w:szCs w:val="32"/>
      </w:rP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7459"/>
    <w:multiLevelType w:val="hybridMultilevel"/>
    <w:tmpl w:val="9C48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94BF5"/>
    <w:multiLevelType w:val="hybridMultilevel"/>
    <w:tmpl w:val="71843E9E"/>
    <w:lvl w:ilvl="0" w:tplc="618CA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0D0CD7"/>
    <w:multiLevelType w:val="hybridMultilevel"/>
    <w:tmpl w:val="71425C28"/>
    <w:lvl w:ilvl="0" w:tplc="17B8404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53C24"/>
    <w:multiLevelType w:val="hybridMultilevel"/>
    <w:tmpl w:val="C840D9BE"/>
    <w:lvl w:ilvl="0" w:tplc="3AAC34F0">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1C38E73E" w:tentative="1">
      <w:start w:val="1"/>
      <w:numFmt w:val="bullet"/>
      <w:lvlText w:val=""/>
      <w:lvlJc w:val="left"/>
      <w:pPr>
        <w:tabs>
          <w:tab w:val="num" w:pos="2160"/>
        </w:tabs>
        <w:ind w:left="2160" w:hanging="360"/>
      </w:pPr>
      <w:rPr>
        <w:rFonts w:ascii="Wingdings" w:hAnsi="Wingdings" w:hint="default"/>
      </w:rPr>
    </w:lvl>
    <w:lvl w:ilvl="3" w:tplc="B8CA986C" w:tentative="1">
      <w:start w:val="1"/>
      <w:numFmt w:val="bullet"/>
      <w:lvlText w:val=""/>
      <w:lvlJc w:val="left"/>
      <w:pPr>
        <w:tabs>
          <w:tab w:val="num" w:pos="2880"/>
        </w:tabs>
        <w:ind w:left="2880" w:hanging="360"/>
      </w:pPr>
      <w:rPr>
        <w:rFonts w:ascii="Wingdings" w:hAnsi="Wingdings" w:hint="default"/>
      </w:rPr>
    </w:lvl>
    <w:lvl w:ilvl="4" w:tplc="D944B52A" w:tentative="1">
      <w:start w:val="1"/>
      <w:numFmt w:val="bullet"/>
      <w:lvlText w:val=""/>
      <w:lvlJc w:val="left"/>
      <w:pPr>
        <w:tabs>
          <w:tab w:val="num" w:pos="3600"/>
        </w:tabs>
        <w:ind w:left="3600" w:hanging="360"/>
      </w:pPr>
      <w:rPr>
        <w:rFonts w:ascii="Wingdings" w:hAnsi="Wingdings" w:hint="default"/>
      </w:rPr>
    </w:lvl>
    <w:lvl w:ilvl="5" w:tplc="873A2814" w:tentative="1">
      <w:start w:val="1"/>
      <w:numFmt w:val="bullet"/>
      <w:lvlText w:val=""/>
      <w:lvlJc w:val="left"/>
      <w:pPr>
        <w:tabs>
          <w:tab w:val="num" w:pos="4320"/>
        </w:tabs>
        <w:ind w:left="4320" w:hanging="360"/>
      </w:pPr>
      <w:rPr>
        <w:rFonts w:ascii="Wingdings" w:hAnsi="Wingdings" w:hint="default"/>
      </w:rPr>
    </w:lvl>
    <w:lvl w:ilvl="6" w:tplc="E3D4F8BE" w:tentative="1">
      <w:start w:val="1"/>
      <w:numFmt w:val="bullet"/>
      <w:lvlText w:val=""/>
      <w:lvlJc w:val="left"/>
      <w:pPr>
        <w:tabs>
          <w:tab w:val="num" w:pos="5040"/>
        </w:tabs>
        <w:ind w:left="5040" w:hanging="360"/>
      </w:pPr>
      <w:rPr>
        <w:rFonts w:ascii="Wingdings" w:hAnsi="Wingdings" w:hint="default"/>
      </w:rPr>
    </w:lvl>
    <w:lvl w:ilvl="7" w:tplc="14903FE8" w:tentative="1">
      <w:start w:val="1"/>
      <w:numFmt w:val="bullet"/>
      <w:lvlText w:val=""/>
      <w:lvlJc w:val="left"/>
      <w:pPr>
        <w:tabs>
          <w:tab w:val="num" w:pos="5760"/>
        </w:tabs>
        <w:ind w:left="5760" w:hanging="360"/>
      </w:pPr>
      <w:rPr>
        <w:rFonts w:ascii="Wingdings" w:hAnsi="Wingdings" w:hint="default"/>
      </w:rPr>
    </w:lvl>
    <w:lvl w:ilvl="8" w:tplc="FEB036D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FD70EA"/>
    <w:multiLevelType w:val="hybridMultilevel"/>
    <w:tmpl w:val="FC62CE7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C38E73E" w:tentative="1">
      <w:start w:val="1"/>
      <w:numFmt w:val="bullet"/>
      <w:lvlText w:val=""/>
      <w:lvlJc w:val="left"/>
      <w:pPr>
        <w:tabs>
          <w:tab w:val="num" w:pos="2160"/>
        </w:tabs>
        <w:ind w:left="2160" w:hanging="360"/>
      </w:pPr>
      <w:rPr>
        <w:rFonts w:ascii="Wingdings" w:hAnsi="Wingdings" w:hint="default"/>
      </w:rPr>
    </w:lvl>
    <w:lvl w:ilvl="3" w:tplc="B8CA986C" w:tentative="1">
      <w:start w:val="1"/>
      <w:numFmt w:val="bullet"/>
      <w:lvlText w:val=""/>
      <w:lvlJc w:val="left"/>
      <w:pPr>
        <w:tabs>
          <w:tab w:val="num" w:pos="2880"/>
        </w:tabs>
        <w:ind w:left="2880" w:hanging="360"/>
      </w:pPr>
      <w:rPr>
        <w:rFonts w:ascii="Wingdings" w:hAnsi="Wingdings" w:hint="default"/>
      </w:rPr>
    </w:lvl>
    <w:lvl w:ilvl="4" w:tplc="D944B52A" w:tentative="1">
      <w:start w:val="1"/>
      <w:numFmt w:val="bullet"/>
      <w:lvlText w:val=""/>
      <w:lvlJc w:val="left"/>
      <w:pPr>
        <w:tabs>
          <w:tab w:val="num" w:pos="3600"/>
        </w:tabs>
        <w:ind w:left="3600" w:hanging="360"/>
      </w:pPr>
      <w:rPr>
        <w:rFonts w:ascii="Wingdings" w:hAnsi="Wingdings" w:hint="default"/>
      </w:rPr>
    </w:lvl>
    <w:lvl w:ilvl="5" w:tplc="873A2814" w:tentative="1">
      <w:start w:val="1"/>
      <w:numFmt w:val="bullet"/>
      <w:lvlText w:val=""/>
      <w:lvlJc w:val="left"/>
      <w:pPr>
        <w:tabs>
          <w:tab w:val="num" w:pos="4320"/>
        </w:tabs>
        <w:ind w:left="4320" w:hanging="360"/>
      </w:pPr>
      <w:rPr>
        <w:rFonts w:ascii="Wingdings" w:hAnsi="Wingdings" w:hint="default"/>
      </w:rPr>
    </w:lvl>
    <w:lvl w:ilvl="6" w:tplc="E3D4F8BE" w:tentative="1">
      <w:start w:val="1"/>
      <w:numFmt w:val="bullet"/>
      <w:lvlText w:val=""/>
      <w:lvlJc w:val="left"/>
      <w:pPr>
        <w:tabs>
          <w:tab w:val="num" w:pos="5040"/>
        </w:tabs>
        <w:ind w:left="5040" w:hanging="360"/>
      </w:pPr>
      <w:rPr>
        <w:rFonts w:ascii="Wingdings" w:hAnsi="Wingdings" w:hint="default"/>
      </w:rPr>
    </w:lvl>
    <w:lvl w:ilvl="7" w:tplc="14903FE8" w:tentative="1">
      <w:start w:val="1"/>
      <w:numFmt w:val="bullet"/>
      <w:lvlText w:val=""/>
      <w:lvlJc w:val="left"/>
      <w:pPr>
        <w:tabs>
          <w:tab w:val="num" w:pos="5760"/>
        </w:tabs>
        <w:ind w:left="5760" w:hanging="360"/>
      </w:pPr>
      <w:rPr>
        <w:rFonts w:ascii="Wingdings" w:hAnsi="Wingdings" w:hint="default"/>
      </w:rPr>
    </w:lvl>
    <w:lvl w:ilvl="8" w:tplc="FEB036D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FD09F2"/>
    <w:multiLevelType w:val="multilevel"/>
    <w:tmpl w:val="ADE6F58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B476CB"/>
    <w:multiLevelType w:val="hybridMultilevel"/>
    <w:tmpl w:val="2DBE2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4A4A17"/>
    <w:multiLevelType w:val="multilevel"/>
    <w:tmpl w:val="27EE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A51E03"/>
    <w:multiLevelType w:val="hybridMultilevel"/>
    <w:tmpl w:val="5602E6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F430E5"/>
    <w:multiLevelType w:val="hybridMultilevel"/>
    <w:tmpl w:val="2B74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D7A5E"/>
    <w:multiLevelType w:val="multilevel"/>
    <w:tmpl w:val="8C840F82"/>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cs="Times New Roman" w:hint="default"/>
        <w:sz w:val="20"/>
      </w:rPr>
    </w:lvl>
    <w:lvl w:ilvl="2">
      <w:start w:val="1"/>
      <w:numFmt w:val="bullet"/>
      <w:lvlText w:val=""/>
      <w:lvlJc w:val="left"/>
      <w:pPr>
        <w:tabs>
          <w:tab w:val="num" w:pos="6120"/>
        </w:tabs>
        <w:ind w:left="6120" w:hanging="360"/>
      </w:pPr>
      <w:rPr>
        <w:rFonts w:ascii="Wingdings" w:hAnsi="Wingdings" w:hint="default"/>
        <w:sz w:val="20"/>
      </w:rPr>
    </w:lvl>
    <w:lvl w:ilvl="3">
      <w:start w:val="1"/>
      <w:numFmt w:val="bullet"/>
      <w:lvlText w:val=""/>
      <w:lvlJc w:val="left"/>
      <w:pPr>
        <w:tabs>
          <w:tab w:val="num" w:pos="6840"/>
        </w:tabs>
        <w:ind w:left="6840" w:hanging="360"/>
      </w:pPr>
      <w:rPr>
        <w:rFonts w:ascii="Wingdings" w:hAnsi="Wingdings" w:hint="default"/>
        <w:sz w:val="20"/>
      </w:rPr>
    </w:lvl>
    <w:lvl w:ilvl="4">
      <w:start w:val="1"/>
      <w:numFmt w:val="bullet"/>
      <w:lvlText w:val=""/>
      <w:lvlJc w:val="left"/>
      <w:pPr>
        <w:tabs>
          <w:tab w:val="num" w:pos="7560"/>
        </w:tabs>
        <w:ind w:left="7560" w:hanging="360"/>
      </w:pPr>
      <w:rPr>
        <w:rFonts w:ascii="Wingdings" w:hAnsi="Wingdings" w:hint="default"/>
        <w:sz w:val="20"/>
      </w:rPr>
    </w:lvl>
    <w:lvl w:ilvl="5">
      <w:start w:val="1"/>
      <w:numFmt w:val="bullet"/>
      <w:lvlText w:val=""/>
      <w:lvlJc w:val="left"/>
      <w:pPr>
        <w:tabs>
          <w:tab w:val="num" w:pos="8280"/>
        </w:tabs>
        <w:ind w:left="8280" w:hanging="360"/>
      </w:pPr>
      <w:rPr>
        <w:rFonts w:ascii="Wingdings" w:hAnsi="Wingdings" w:hint="default"/>
        <w:sz w:val="20"/>
      </w:rPr>
    </w:lvl>
    <w:lvl w:ilvl="6">
      <w:start w:val="1"/>
      <w:numFmt w:val="bullet"/>
      <w:lvlText w:val=""/>
      <w:lvlJc w:val="left"/>
      <w:pPr>
        <w:tabs>
          <w:tab w:val="num" w:pos="9000"/>
        </w:tabs>
        <w:ind w:left="9000" w:hanging="360"/>
      </w:pPr>
      <w:rPr>
        <w:rFonts w:ascii="Wingdings" w:hAnsi="Wingdings" w:hint="default"/>
        <w:sz w:val="20"/>
      </w:rPr>
    </w:lvl>
    <w:lvl w:ilvl="7">
      <w:start w:val="1"/>
      <w:numFmt w:val="bullet"/>
      <w:lvlText w:val=""/>
      <w:lvlJc w:val="left"/>
      <w:pPr>
        <w:tabs>
          <w:tab w:val="num" w:pos="9720"/>
        </w:tabs>
        <w:ind w:left="9720" w:hanging="360"/>
      </w:pPr>
      <w:rPr>
        <w:rFonts w:ascii="Wingdings" w:hAnsi="Wingdings" w:hint="default"/>
        <w:sz w:val="20"/>
      </w:rPr>
    </w:lvl>
    <w:lvl w:ilvl="8">
      <w:start w:val="1"/>
      <w:numFmt w:val="bullet"/>
      <w:lvlText w:val=""/>
      <w:lvlJc w:val="left"/>
      <w:pPr>
        <w:tabs>
          <w:tab w:val="num" w:pos="10440"/>
        </w:tabs>
        <w:ind w:left="10440" w:hanging="360"/>
      </w:pPr>
      <w:rPr>
        <w:rFonts w:ascii="Wingdings" w:hAnsi="Wingdings" w:hint="default"/>
        <w:sz w:val="20"/>
      </w:rPr>
    </w:lvl>
  </w:abstractNum>
  <w:abstractNum w:abstractNumId="11" w15:restartNumberingAfterBreak="0">
    <w:nsid w:val="1FB64D9D"/>
    <w:multiLevelType w:val="hybridMultilevel"/>
    <w:tmpl w:val="B1349260"/>
    <w:lvl w:ilvl="0" w:tplc="CD9681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1603F"/>
    <w:multiLevelType w:val="hybridMultilevel"/>
    <w:tmpl w:val="2D08DF5A"/>
    <w:lvl w:ilvl="0" w:tplc="4A308B8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273B3"/>
    <w:multiLevelType w:val="multilevel"/>
    <w:tmpl w:val="D4987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8D760C"/>
    <w:multiLevelType w:val="hybridMultilevel"/>
    <w:tmpl w:val="1D02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8E18DC"/>
    <w:multiLevelType w:val="hybridMultilevel"/>
    <w:tmpl w:val="A862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70C52"/>
    <w:multiLevelType w:val="hybridMultilevel"/>
    <w:tmpl w:val="B3E8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CA4140"/>
    <w:multiLevelType w:val="hybridMultilevel"/>
    <w:tmpl w:val="0924E62A"/>
    <w:lvl w:ilvl="0" w:tplc="04090001">
      <w:start w:val="1"/>
      <w:numFmt w:val="bullet"/>
      <w:lvlText w:val=""/>
      <w:lvlJc w:val="left"/>
      <w:pPr>
        <w:ind w:left="720" w:hanging="360"/>
      </w:pPr>
      <w:rPr>
        <w:rFonts w:ascii="Symbol" w:hAnsi="Symbol" w:hint="default"/>
      </w:rPr>
    </w:lvl>
    <w:lvl w:ilvl="1" w:tplc="04A2117C">
      <w:start w:val="1"/>
      <w:numFmt w:val="decimal"/>
      <w:lvlText w:val="%2."/>
      <w:lvlJc w:val="left"/>
      <w:pPr>
        <w:tabs>
          <w:tab w:val="num" w:pos="1440"/>
        </w:tabs>
        <w:ind w:left="1440" w:hanging="360"/>
      </w:pPr>
      <w:rPr>
        <w:rFonts w:ascii="Calibri" w:eastAsia="Calibri" w:hAnsi="Calibri"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3161630"/>
    <w:multiLevelType w:val="multilevel"/>
    <w:tmpl w:val="E59C1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946403"/>
    <w:multiLevelType w:val="hybridMultilevel"/>
    <w:tmpl w:val="2DFEE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B0076B"/>
    <w:multiLevelType w:val="hybridMultilevel"/>
    <w:tmpl w:val="681EC9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0D736EF"/>
    <w:multiLevelType w:val="hybridMultilevel"/>
    <w:tmpl w:val="5198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60DAC"/>
    <w:multiLevelType w:val="hybridMultilevel"/>
    <w:tmpl w:val="DA601066"/>
    <w:lvl w:ilvl="0" w:tplc="0409000F">
      <w:start w:val="1"/>
      <w:numFmt w:val="decimal"/>
      <w:lvlText w:val="%1."/>
      <w:lvlJc w:val="left"/>
      <w:pPr>
        <w:ind w:left="1080" w:hanging="360"/>
      </w:p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3" w15:restartNumberingAfterBreak="0">
    <w:nsid w:val="42E62ECD"/>
    <w:multiLevelType w:val="hybridMultilevel"/>
    <w:tmpl w:val="CF9406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39E49EE"/>
    <w:multiLevelType w:val="hybridMultilevel"/>
    <w:tmpl w:val="01E85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42E676F"/>
    <w:multiLevelType w:val="multilevel"/>
    <w:tmpl w:val="B4D0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D27244"/>
    <w:multiLevelType w:val="hybridMultilevel"/>
    <w:tmpl w:val="E34A506E"/>
    <w:lvl w:ilvl="0" w:tplc="7FE288FA">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B5424F7"/>
    <w:multiLevelType w:val="multilevel"/>
    <w:tmpl w:val="8B581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324CDF"/>
    <w:multiLevelType w:val="hybridMultilevel"/>
    <w:tmpl w:val="7F6CD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0436B09"/>
    <w:multiLevelType w:val="hybridMultilevel"/>
    <w:tmpl w:val="7C343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5F31147"/>
    <w:multiLevelType w:val="hybridMultilevel"/>
    <w:tmpl w:val="E526782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5BB9191D"/>
    <w:multiLevelType w:val="hybridMultilevel"/>
    <w:tmpl w:val="4E44E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DCE66DB"/>
    <w:multiLevelType w:val="hybridMultilevel"/>
    <w:tmpl w:val="4AAE4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787043F"/>
    <w:multiLevelType w:val="multilevel"/>
    <w:tmpl w:val="3AB6B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EF0C09"/>
    <w:multiLevelType w:val="hybridMultilevel"/>
    <w:tmpl w:val="34364F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6FB53DDD"/>
    <w:multiLevelType w:val="hybridMultilevel"/>
    <w:tmpl w:val="D9EE05D8"/>
    <w:lvl w:ilvl="0" w:tplc="7004D01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A5286A"/>
    <w:multiLevelType w:val="hybridMultilevel"/>
    <w:tmpl w:val="525C1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8907E7E"/>
    <w:multiLevelType w:val="multilevel"/>
    <w:tmpl w:val="DBBC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29"/>
  </w:num>
  <w:num w:numId="7">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16"/>
  </w:num>
  <w:num w:numId="14">
    <w:abstractNumId w:val="21"/>
  </w:num>
  <w:num w:numId="15">
    <w:abstractNumId w:val="32"/>
  </w:num>
  <w:num w:numId="16">
    <w:abstractNumId w:val="14"/>
  </w:num>
  <w:num w:numId="17">
    <w:abstractNumId w:val="31"/>
  </w:num>
  <w:num w:numId="18">
    <w:abstractNumId w:val="3"/>
  </w:num>
  <w:num w:numId="19">
    <w:abstractNumId w:val="35"/>
  </w:num>
  <w:num w:numId="20">
    <w:abstractNumId w:val="12"/>
  </w:num>
  <w:num w:numId="21">
    <w:abstractNumId w:val="36"/>
  </w:num>
  <w:num w:numId="22">
    <w:abstractNumId w:val="10"/>
  </w:num>
  <w:num w:numId="23">
    <w:abstractNumId w:val="6"/>
  </w:num>
  <w:num w:numId="24">
    <w:abstractNumId w:val="13"/>
  </w:num>
  <w:num w:numId="25">
    <w:abstractNumId w:val="33"/>
  </w:num>
  <w:num w:numId="26">
    <w:abstractNumId w:val="9"/>
  </w:num>
  <w:num w:numId="27">
    <w:abstractNumId w:val="27"/>
  </w:num>
  <w:num w:numId="28">
    <w:abstractNumId w:val="24"/>
  </w:num>
  <w:num w:numId="29">
    <w:abstractNumId w:val="0"/>
  </w:num>
  <w:num w:numId="30">
    <w:abstractNumId w:val="11"/>
  </w:num>
  <w:num w:numId="31">
    <w:abstractNumId w:val="15"/>
  </w:num>
  <w:num w:numId="32">
    <w:abstractNumId w:val="37"/>
  </w:num>
  <w:num w:numId="33">
    <w:abstractNumId w:val="30"/>
  </w:num>
  <w:num w:numId="34">
    <w:abstractNumId w:val="7"/>
  </w:num>
  <w:num w:numId="35">
    <w:abstractNumId w:val="18"/>
  </w:num>
  <w:num w:numId="36">
    <w:abstractNumId w:val="25"/>
  </w:num>
  <w:num w:numId="37">
    <w:abstractNumId w:val="2"/>
  </w:num>
  <w:num w:numId="38">
    <w:abstractNumId w:val="26"/>
  </w:num>
  <w:num w:numId="39">
    <w:abstractNumId w:val="19"/>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4B"/>
    <w:rsid w:val="00002604"/>
    <w:rsid w:val="0001106C"/>
    <w:rsid w:val="00022022"/>
    <w:rsid w:val="000223DD"/>
    <w:rsid w:val="00033671"/>
    <w:rsid w:val="000361C3"/>
    <w:rsid w:val="00037B37"/>
    <w:rsid w:val="0004570F"/>
    <w:rsid w:val="00047989"/>
    <w:rsid w:val="00050727"/>
    <w:rsid w:val="0005320C"/>
    <w:rsid w:val="00057984"/>
    <w:rsid w:val="00057F31"/>
    <w:rsid w:val="00062999"/>
    <w:rsid w:val="00076C99"/>
    <w:rsid w:val="00077939"/>
    <w:rsid w:val="000872C6"/>
    <w:rsid w:val="0009579A"/>
    <w:rsid w:val="00095B50"/>
    <w:rsid w:val="000A4676"/>
    <w:rsid w:val="000B452C"/>
    <w:rsid w:val="000B69F6"/>
    <w:rsid w:val="000C2023"/>
    <w:rsid w:val="000E0F31"/>
    <w:rsid w:val="000E6D65"/>
    <w:rsid w:val="000F0953"/>
    <w:rsid w:val="00102155"/>
    <w:rsid w:val="00103C13"/>
    <w:rsid w:val="00111D14"/>
    <w:rsid w:val="001177EF"/>
    <w:rsid w:val="00124656"/>
    <w:rsid w:val="00133ECA"/>
    <w:rsid w:val="0014643C"/>
    <w:rsid w:val="00157F4B"/>
    <w:rsid w:val="00161152"/>
    <w:rsid w:val="00181C9A"/>
    <w:rsid w:val="00182B68"/>
    <w:rsid w:val="00186DCB"/>
    <w:rsid w:val="0019243F"/>
    <w:rsid w:val="001933C8"/>
    <w:rsid w:val="00195D0D"/>
    <w:rsid w:val="00197309"/>
    <w:rsid w:val="001A04FE"/>
    <w:rsid w:val="001A64B0"/>
    <w:rsid w:val="001C3014"/>
    <w:rsid w:val="001C4899"/>
    <w:rsid w:val="001D6257"/>
    <w:rsid w:val="001E18F0"/>
    <w:rsid w:val="001E46E9"/>
    <w:rsid w:val="001F2E81"/>
    <w:rsid w:val="00202191"/>
    <w:rsid w:val="002041C3"/>
    <w:rsid w:val="00205673"/>
    <w:rsid w:val="0021013C"/>
    <w:rsid w:val="002130D5"/>
    <w:rsid w:val="002162FB"/>
    <w:rsid w:val="00222AC9"/>
    <w:rsid w:val="00223477"/>
    <w:rsid w:val="00224447"/>
    <w:rsid w:val="00224B63"/>
    <w:rsid w:val="00225194"/>
    <w:rsid w:val="00256521"/>
    <w:rsid w:val="00266A71"/>
    <w:rsid w:val="002720CF"/>
    <w:rsid w:val="00274EC0"/>
    <w:rsid w:val="0028238A"/>
    <w:rsid w:val="00286159"/>
    <w:rsid w:val="0029054F"/>
    <w:rsid w:val="00293CD1"/>
    <w:rsid w:val="002B132D"/>
    <w:rsid w:val="002B2B63"/>
    <w:rsid w:val="002B4ADE"/>
    <w:rsid w:val="002C7893"/>
    <w:rsid w:val="002D0BA4"/>
    <w:rsid w:val="002D35CD"/>
    <w:rsid w:val="002F1801"/>
    <w:rsid w:val="002F4F65"/>
    <w:rsid w:val="00305C96"/>
    <w:rsid w:val="00325AF4"/>
    <w:rsid w:val="00336E96"/>
    <w:rsid w:val="00347ABA"/>
    <w:rsid w:val="00353720"/>
    <w:rsid w:val="003552D0"/>
    <w:rsid w:val="003628D2"/>
    <w:rsid w:val="00381C8B"/>
    <w:rsid w:val="00390A23"/>
    <w:rsid w:val="00396F04"/>
    <w:rsid w:val="003B34FC"/>
    <w:rsid w:val="003B5A1D"/>
    <w:rsid w:val="003C3E63"/>
    <w:rsid w:val="003D1D90"/>
    <w:rsid w:val="003D43CA"/>
    <w:rsid w:val="003E673E"/>
    <w:rsid w:val="003F2433"/>
    <w:rsid w:val="00407611"/>
    <w:rsid w:val="004100ED"/>
    <w:rsid w:val="00424617"/>
    <w:rsid w:val="00436EE6"/>
    <w:rsid w:val="00444367"/>
    <w:rsid w:val="004467E3"/>
    <w:rsid w:val="004621FD"/>
    <w:rsid w:val="00476F79"/>
    <w:rsid w:val="00481870"/>
    <w:rsid w:val="00483192"/>
    <w:rsid w:val="0048724A"/>
    <w:rsid w:val="004A361A"/>
    <w:rsid w:val="004B22C5"/>
    <w:rsid w:val="004C4D13"/>
    <w:rsid w:val="004C75A2"/>
    <w:rsid w:val="004D1137"/>
    <w:rsid w:val="004D7A31"/>
    <w:rsid w:val="004E6C0D"/>
    <w:rsid w:val="004F6B7C"/>
    <w:rsid w:val="00511C13"/>
    <w:rsid w:val="005123B0"/>
    <w:rsid w:val="0051394E"/>
    <w:rsid w:val="00521C0A"/>
    <w:rsid w:val="00537801"/>
    <w:rsid w:val="005455F4"/>
    <w:rsid w:val="00545AFA"/>
    <w:rsid w:val="00553A4A"/>
    <w:rsid w:val="005635ED"/>
    <w:rsid w:val="00572F07"/>
    <w:rsid w:val="005773E4"/>
    <w:rsid w:val="00590353"/>
    <w:rsid w:val="005A0FCF"/>
    <w:rsid w:val="005A1A72"/>
    <w:rsid w:val="005A5439"/>
    <w:rsid w:val="005B6EA7"/>
    <w:rsid w:val="005C1E6B"/>
    <w:rsid w:val="005C44F4"/>
    <w:rsid w:val="005D0FA0"/>
    <w:rsid w:val="005D5652"/>
    <w:rsid w:val="005E1466"/>
    <w:rsid w:val="006075DF"/>
    <w:rsid w:val="006126D4"/>
    <w:rsid w:val="00614465"/>
    <w:rsid w:val="00622AE1"/>
    <w:rsid w:val="0064119E"/>
    <w:rsid w:val="00644384"/>
    <w:rsid w:val="00645B87"/>
    <w:rsid w:val="0064639F"/>
    <w:rsid w:val="00646E3D"/>
    <w:rsid w:val="00652490"/>
    <w:rsid w:val="006803EA"/>
    <w:rsid w:val="00685014"/>
    <w:rsid w:val="006A362C"/>
    <w:rsid w:val="006B3EF9"/>
    <w:rsid w:val="006B6BC3"/>
    <w:rsid w:val="006D23CC"/>
    <w:rsid w:val="006D3B0E"/>
    <w:rsid w:val="006D602A"/>
    <w:rsid w:val="006E3E2C"/>
    <w:rsid w:val="006F48A1"/>
    <w:rsid w:val="00705323"/>
    <w:rsid w:val="00707B38"/>
    <w:rsid w:val="00710FE2"/>
    <w:rsid w:val="00722A8A"/>
    <w:rsid w:val="007277DF"/>
    <w:rsid w:val="007358B5"/>
    <w:rsid w:val="007358D0"/>
    <w:rsid w:val="00740C13"/>
    <w:rsid w:val="007673A6"/>
    <w:rsid w:val="00771A27"/>
    <w:rsid w:val="00774A1A"/>
    <w:rsid w:val="00787E4C"/>
    <w:rsid w:val="007A62B1"/>
    <w:rsid w:val="007A779E"/>
    <w:rsid w:val="007B6C67"/>
    <w:rsid w:val="007B777C"/>
    <w:rsid w:val="007C3D6A"/>
    <w:rsid w:val="007C6655"/>
    <w:rsid w:val="007D229F"/>
    <w:rsid w:val="007E3A33"/>
    <w:rsid w:val="007F2B23"/>
    <w:rsid w:val="007F4A2A"/>
    <w:rsid w:val="008003D7"/>
    <w:rsid w:val="00812776"/>
    <w:rsid w:val="00823582"/>
    <w:rsid w:val="00826DAF"/>
    <w:rsid w:val="00847BF0"/>
    <w:rsid w:val="00856EE2"/>
    <w:rsid w:val="008672AA"/>
    <w:rsid w:val="00885F24"/>
    <w:rsid w:val="008A3376"/>
    <w:rsid w:val="008A43A0"/>
    <w:rsid w:val="008B1FF2"/>
    <w:rsid w:val="008B246D"/>
    <w:rsid w:val="008B7E27"/>
    <w:rsid w:val="008C3C0E"/>
    <w:rsid w:val="008C407D"/>
    <w:rsid w:val="008D1BB4"/>
    <w:rsid w:val="008D1E2E"/>
    <w:rsid w:val="008E114B"/>
    <w:rsid w:val="008E772B"/>
    <w:rsid w:val="008F0811"/>
    <w:rsid w:val="008F5D18"/>
    <w:rsid w:val="008F5E6E"/>
    <w:rsid w:val="00900E72"/>
    <w:rsid w:val="00910625"/>
    <w:rsid w:val="0092122E"/>
    <w:rsid w:val="0092465C"/>
    <w:rsid w:val="00925EF7"/>
    <w:rsid w:val="00943AFF"/>
    <w:rsid w:val="009537CC"/>
    <w:rsid w:val="00964D79"/>
    <w:rsid w:val="0097157F"/>
    <w:rsid w:val="009872BE"/>
    <w:rsid w:val="009A0FC0"/>
    <w:rsid w:val="009B16AB"/>
    <w:rsid w:val="009B2C03"/>
    <w:rsid w:val="009B55F5"/>
    <w:rsid w:val="009C67C6"/>
    <w:rsid w:val="009C7092"/>
    <w:rsid w:val="009D58C1"/>
    <w:rsid w:val="009D76E0"/>
    <w:rsid w:val="009E039D"/>
    <w:rsid w:val="009E13EA"/>
    <w:rsid w:val="009E3B9B"/>
    <w:rsid w:val="009E5759"/>
    <w:rsid w:val="00A06E07"/>
    <w:rsid w:val="00A076A1"/>
    <w:rsid w:val="00A11350"/>
    <w:rsid w:val="00A1533D"/>
    <w:rsid w:val="00A15EF4"/>
    <w:rsid w:val="00A20808"/>
    <w:rsid w:val="00A23CEE"/>
    <w:rsid w:val="00A27726"/>
    <w:rsid w:val="00A33AD2"/>
    <w:rsid w:val="00A3429A"/>
    <w:rsid w:val="00A421F1"/>
    <w:rsid w:val="00A50405"/>
    <w:rsid w:val="00A504D0"/>
    <w:rsid w:val="00A52FC9"/>
    <w:rsid w:val="00A5768F"/>
    <w:rsid w:val="00A627A3"/>
    <w:rsid w:val="00A65861"/>
    <w:rsid w:val="00A7411E"/>
    <w:rsid w:val="00A74716"/>
    <w:rsid w:val="00A764C1"/>
    <w:rsid w:val="00A8001D"/>
    <w:rsid w:val="00A83F16"/>
    <w:rsid w:val="00A9431D"/>
    <w:rsid w:val="00A94A3D"/>
    <w:rsid w:val="00AA3B27"/>
    <w:rsid w:val="00AB3D46"/>
    <w:rsid w:val="00AB5972"/>
    <w:rsid w:val="00AD6B95"/>
    <w:rsid w:val="00AE42E7"/>
    <w:rsid w:val="00AE4F9B"/>
    <w:rsid w:val="00AE50D9"/>
    <w:rsid w:val="00AE76D4"/>
    <w:rsid w:val="00AF1B9C"/>
    <w:rsid w:val="00B037FA"/>
    <w:rsid w:val="00B14F31"/>
    <w:rsid w:val="00B16580"/>
    <w:rsid w:val="00B20AA0"/>
    <w:rsid w:val="00B2475F"/>
    <w:rsid w:val="00B56D37"/>
    <w:rsid w:val="00B731C5"/>
    <w:rsid w:val="00B7565F"/>
    <w:rsid w:val="00B76413"/>
    <w:rsid w:val="00B77D4B"/>
    <w:rsid w:val="00B86EC1"/>
    <w:rsid w:val="00B93478"/>
    <w:rsid w:val="00BA213C"/>
    <w:rsid w:val="00BA6EC1"/>
    <w:rsid w:val="00BC0795"/>
    <w:rsid w:val="00BC2BBB"/>
    <w:rsid w:val="00BD16C9"/>
    <w:rsid w:val="00BD2C59"/>
    <w:rsid w:val="00BD5F77"/>
    <w:rsid w:val="00BD6058"/>
    <w:rsid w:val="00BD6E61"/>
    <w:rsid w:val="00BF1342"/>
    <w:rsid w:val="00C0583B"/>
    <w:rsid w:val="00C159DF"/>
    <w:rsid w:val="00C1781D"/>
    <w:rsid w:val="00C21179"/>
    <w:rsid w:val="00C57A92"/>
    <w:rsid w:val="00C61098"/>
    <w:rsid w:val="00C62436"/>
    <w:rsid w:val="00C66CE4"/>
    <w:rsid w:val="00C76584"/>
    <w:rsid w:val="00C801C6"/>
    <w:rsid w:val="00C85BC4"/>
    <w:rsid w:val="00C97282"/>
    <w:rsid w:val="00CA50DB"/>
    <w:rsid w:val="00CB0147"/>
    <w:rsid w:val="00CB0566"/>
    <w:rsid w:val="00CB0730"/>
    <w:rsid w:val="00CB3E2A"/>
    <w:rsid w:val="00CB4A00"/>
    <w:rsid w:val="00CC49D7"/>
    <w:rsid w:val="00CD0B94"/>
    <w:rsid w:val="00CD25B5"/>
    <w:rsid w:val="00CD6E54"/>
    <w:rsid w:val="00CE59DF"/>
    <w:rsid w:val="00CE6DFA"/>
    <w:rsid w:val="00CF49B4"/>
    <w:rsid w:val="00CF4FE5"/>
    <w:rsid w:val="00CF60EB"/>
    <w:rsid w:val="00CF797E"/>
    <w:rsid w:val="00D017F9"/>
    <w:rsid w:val="00D11A0D"/>
    <w:rsid w:val="00D20FC8"/>
    <w:rsid w:val="00D3529F"/>
    <w:rsid w:val="00D43EF8"/>
    <w:rsid w:val="00D454B7"/>
    <w:rsid w:val="00D47F5C"/>
    <w:rsid w:val="00D60026"/>
    <w:rsid w:val="00D64BA2"/>
    <w:rsid w:val="00D708F2"/>
    <w:rsid w:val="00D91B77"/>
    <w:rsid w:val="00DB5C06"/>
    <w:rsid w:val="00DE33A6"/>
    <w:rsid w:val="00DF1B0D"/>
    <w:rsid w:val="00E0070D"/>
    <w:rsid w:val="00E10A86"/>
    <w:rsid w:val="00E2565C"/>
    <w:rsid w:val="00E25F52"/>
    <w:rsid w:val="00E27CA2"/>
    <w:rsid w:val="00E33222"/>
    <w:rsid w:val="00E51C64"/>
    <w:rsid w:val="00E54FA6"/>
    <w:rsid w:val="00E71516"/>
    <w:rsid w:val="00E85557"/>
    <w:rsid w:val="00E85BC8"/>
    <w:rsid w:val="00E868F6"/>
    <w:rsid w:val="00E9021B"/>
    <w:rsid w:val="00E911F6"/>
    <w:rsid w:val="00EA0403"/>
    <w:rsid w:val="00EB4D2A"/>
    <w:rsid w:val="00EB58E3"/>
    <w:rsid w:val="00EC0E19"/>
    <w:rsid w:val="00EC4251"/>
    <w:rsid w:val="00EE3010"/>
    <w:rsid w:val="00F04B36"/>
    <w:rsid w:val="00F419AD"/>
    <w:rsid w:val="00F43FDC"/>
    <w:rsid w:val="00F44AB6"/>
    <w:rsid w:val="00F465A6"/>
    <w:rsid w:val="00F471F9"/>
    <w:rsid w:val="00F476C0"/>
    <w:rsid w:val="00F50E2F"/>
    <w:rsid w:val="00F51FC6"/>
    <w:rsid w:val="00F537BE"/>
    <w:rsid w:val="00F60880"/>
    <w:rsid w:val="00F6334C"/>
    <w:rsid w:val="00F64387"/>
    <w:rsid w:val="00F7607F"/>
    <w:rsid w:val="00F84A23"/>
    <w:rsid w:val="00F8658C"/>
    <w:rsid w:val="00F94A4D"/>
    <w:rsid w:val="00FA286A"/>
    <w:rsid w:val="00FA5C92"/>
    <w:rsid w:val="00FC4128"/>
    <w:rsid w:val="00FC4340"/>
    <w:rsid w:val="00FC4C98"/>
    <w:rsid w:val="00FE1B98"/>
    <w:rsid w:val="00FF5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E80C"/>
  <w15:chartTrackingRefBased/>
  <w15:docId w15:val="{FBB7FDD2-BE49-432E-8B65-94366249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32D"/>
    <w:pPr>
      <w:spacing w:after="0"/>
    </w:pPr>
    <w:rPr>
      <w:rFonts w:ascii="Arial" w:hAnsi="Arial"/>
      <w:sz w:val="24"/>
    </w:rPr>
  </w:style>
  <w:style w:type="paragraph" w:styleId="Heading1">
    <w:name w:val="heading 1"/>
    <w:basedOn w:val="Normal"/>
    <w:next w:val="Normal"/>
    <w:link w:val="Heading1Char"/>
    <w:uiPriority w:val="9"/>
    <w:qFormat/>
    <w:rsid w:val="001A64B0"/>
    <w:pPr>
      <w:spacing w:before="480" w:after="120" w:line="240" w:lineRule="auto"/>
      <w:contextualSpacing/>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C66C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B6C6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4B0"/>
    <w:rPr>
      <w:rFonts w:ascii="Arial" w:eastAsiaTheme="majorEastAsia" w:hAnsi="Arial" w:cstheme="majorBidi"/>
      <w:b/>
      <w:bCs/>
      <w:sz w:val="32"/>
      <w:szCs w:val="28"/>
    </w:rPr>
  </w:style>
  <w:style w:type="character" w:styleId="Hyperlink">
    <w:name w:val="Hyperlink"/>
    <w:basedOn w:val="DefaultParagraphFont"/>
    <w:uiPriority w:val="99"/>
    <w:unhideWhenUsed/>
    <w:rsid w:val="00157F4B"/>
    <w:rPr>
      <w:color w:val="0563C1" w:themeColor="hyperlink"/>
      <w:u w:val="single"/>
    </w:rPr>
  </w:style>
  <w:style w:type="paragraph" w:styleId="ListParagraph">
    <w:name w:val="List Paragraph"/>
    <w:basedOn w:val="Normal"/>
    <w:uiPriority w:val="34"/>
    <w:qFormat/>
    <w:rsid w:val="00511C13"/>
    <w:pPr>
      <w:numPr>
        <w:numId w:val="38"/>
      </w:numPr>
      <w:spacing w:before="120" w:after="120" w:line="240" w:lineRule="auto"/>
    </w:pPr>
    <w:rPr>
      <w:rFonts w:eastAsiaTheme="minorEastAsia"/>
      <w:szCs w:val="24"/>
    </w:rPr>
  </w:style>
  <w:style w:type="paragraph" w:styleId="NormalWeb">
    <w:name w:val="Normal (Web)"/>
    <w:basedOn w:val="Normal"/>
    <w:uiPriority w:val="99"/>
    <w:unhideWhenUsed/>
    <w:rsid w:val="004C4D13"/>
    <w:pPr>
      <w:spacing w:before="100" w:beforeAutospacing="1" w:after="100" w:afterAutospacing="1" w:line="240" w:lineRule="auto"/>
    </w:pPr>
    <w:rPr>
      <w:rFonts w:ascii="Times New Roman" w:eastAsia="Calibri" w:hAnsi="Times New Roman" w:cs="Times New Roman"/>
      <w:szCs w:val="24"/>
    </w:rPr>
  </w:style>
  <w:style w:type="paragraph" w:styleId="Header">
    <w:name w:val="header"/>
    <w:basedOn w:val="Normal"/>
    <w:link w:val="HeaderChar"/>
    <w:uiPriority w:val="99"/>
    <w:unhideWhenUsed/>
    <w:rsid w:val="004C4D13"/>
    <w:pPr>
      <w:tabs>
        <w:tab w:val="center" w:pos="4680"/>
        <w:tab w:val="right" w:pos="9360"/>
      </w:tabs>
      <w:spacing w:line="240" w:lineRule="auto"/>
    </w:pPr>
  </w:style>
  <w:style w:type="character" w:customStyle="1" w:styleId="HeaderChar">
    <w:name w:val="Header Char"/>
    <w:basedOn w:val="DefaultParagraphFont"/>
    <w:link w:val="Header"/>
    <w:uiPriority w:val="99"/>
    <w:rsid w:val="004C4D13"/>
  </w:style>
  <w:style w:type="paragraph" w:styleId="Footer">
    <w:name w:val="footer"/>
    <w:basedOn w:val="Normal"/>
    <w:link w:val="FooterChar"/>
    <w:uiPriority w:val="99"/>
    <w:unhideWhenUsed/>
    <w:rsid w:val="004C4D13"/>
    <w:pPr>
      <w:tabs>
        <w:tab w:val="center" w:pos="4680"/>
        <w:tab w:val="right" w:pos="9360"/>
      </w:tabs>
      <w:spacing w:line="240" w:lineRule="auto"/>
    </w:pPr>
  </w:style>
  <w:style w:type="character" w:customStyle="1" w:styleId="FooterChar">
    <w:name w:val="Footer Char"/>
    <w:basedOn w:val="DefaultParagraphFont"/>
    <w:link w:val="Footer"/>
    <w:uiPriority w:val="99"/>
    <w:rsid w:val="004C4D13"/>
  </w:style>
  <w:style w:type="character" w:styleId="FollowedHyperlink">
    <w:name w:val="FollowedHyperlink"/>
    <w:basedOn w:val="DefaultParagraphFont"/>
    <w:uiPriority w:val="99"/>
    <w:semiHidden/>
    <w:unhideWhenUsed/>
    <w:rsid w:val="00B76413"/>
    <w:rPr>
      <w:color w:val="954F72" w:themeColor="followedHyperlink"/>
      <w:u w:val="single"/>
    </w:rPr>
  </w:style>
  <w:style w:type="paragraph" w:styleId="BalloonText">
    <w:name w:val="Balloon Text"/>
    <w:basedOn w:val="Normal"/>
    <w:link w:val="BalloonTextChar"/>
    <w:uiPriority w:val="99"/>
    <w:semiHidden/>
    <w:unhideWhenUsed/>
    <w:rsid w:val="00CD0B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B94"/>
    <w:rPr>
      <w:rFonts w:ascii="Segoe UI" w:hAnsi="Segoe UI" w:cs="Segoe UI"/>
      <w:sz w:val="18"/>
      <w:szCs w:val="18"/>
    </w:rPr>
  </w:style>
  <w:style w:type="paragraph" w:styleId="CommentText">
    <w:name w:val="annotation text"/>
    <w:basedOn w:val="Normal"/>
    <w:link w:val="CommentTextChar"/>
    <w:uiPriority w:val="99"/>
    <w:semiHidden/>
    <w:unhideWhenUsed/>
    <w:rsid w:val="00EB4D2A"/>
    <w:pPr>
      <w:spacing w:line="240" w:lineRule="auto"/>
    </w:pPr>
    <w:rPr>
      <w:sz w:val="20"/>
      <w:szCs w:val="20"/>
    </w:rPr>
  </w:style>
  <w:style w:type="character" w:customStyle="1" w:styleId="CommentTextChar">
    <w:name w:val="Comment Text Char"/>
    <w:basedOn w:val="DefaultParagraphFont"/>
    <w:link w:val="CommentText"/>
    <w:uiPriority w:val="99"/>
    <w:semiHidden/>
    <w:rsid w:val="00EB4D2A"/>
    <w:rPr>
      <w:sz w:val="20"/>
      <w:szCs w:val="20"/>
    </w:rPr>
  </w:style>
  <w:style w:type="character" w:styleId="Strong">
    <w:name w:val="Strong"/>
    <w:basedOn w:val="DefaultParagraphFont"/>
    <w:uiPriority w:val="22"/>
    <w:qFormat/>
    <w:rsid w:val="00943AFF"/>
    <w:rPr>
      <w:b/>
      <w:bCs/>
    </w:rPr>
  </w:style>
  <w:style w:type="character" w:customStyle="1" w:styleId="Heading3Char">
    <w:name w:val="Heading 3 Char"/>
    <w:basedOn w:val="DefaultParagraphFont"/>
    <w:link w:val="Heading3"/>
    <w:uiPriority w:val="9"/>
    <w:semiHidden/>
    <w:rsid w:val="007B6C67"/>
    <w:rPr>
      <w:rFonts w:asciiTheme="majorHAnsi" w:eastAsiaTheme="majorEastAsia" w:hAnsiTheme="majorHAnsi" w:cstheme="majorBidi"/>
      <w:color w:val="1F4D78" w:themeColor="accent1" w:themeShade="7F"/>
      <w:sz w:val="24"/>
      <w:szCs w:val="24"/>
    </w:rPr>
  </w:style>
  <w:style w:type="character" w:customStyle="1" w:styleId="amendmentparttext">
    <w:name w:val="amendment_part_text"/>
    <w:basedOn w:val="DefaultParagraphFont"/>
    <w:rsid w:val="007B6C67"/>
  </w:style>
  <w:style w:type="character" w:styleId="IntenseReference">
    <w:name w:val="Intense Reference"/>
    <w:basedOn w:val="DefaultParagraphFont"/>
    <w:uiPriority w:val="32"/>
    <w:qFormat/>
    <w:rsid w:val="00C0583B"/>
    <w:rPr>
      <w:rFonts w:ascii="Arial" w:hAnsi="Arial"/>
      <w:b/>
      <w:bCs/>
      <w:caps w:val="0"/>
      <w:smallCaps w:val="0"/>
      <w:color w:val="auto"/>
      <w:spacing w:val="5"/>
      <w:sz w:val="24"/>
      <w:u w:val="single"/>
    </w:rPr>
  </w:style>
  <w:style w:type="paragraph" w:customStyle="1" w:styleId="Default">
    <w:name w:val="Default"/>
    <w:rsid w:val="007C66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C66CE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E1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E0F31"/>
    <w:rPr>
      <w:i/>
      <w:iCs/>
    </w:rPr>
  </w:style>
  <w:style w:type="paragraph" w:styleId="Revision">
    <w:name w:val="Revision"/>
    <w:hidden/>
    <w:uiPriority w:val="99"/>
    <w:semiHidden/>
    <w:rsid w:val="00DB5C06"/>
    <w:pPr>
      <w:spacing w:after="0" w:line="240" w:lineRule="auto"/>
    </w:pPr>
    <w:rPr>
      <w:rFonts w:ascii="Arial" w:hAnsi="Arial"/>
      <w:sz w:val="24"/>
    </w:rPr>
  </w:style>
  <w:style w:type="character" w:customStyle="1" w:styleId="Mention1">
    <w:name w:val="Mention1"/>
    <w:basedOn w:val="DefaultParagraphFont"/>
    <w:uiPriority w:val="99"/>
    <w:semiHidden/>
    <w:unhideWhenUsed/>
    <w:rsid w:val="007358B5"/>
    <w:rPr>
      <w:color w:val="2B579A"/>
      <w:shd w:val="clear" w:color="auto" w:fill="E6E6E6"/>
    </w:rPr>
  </w:style>
  <w:style w:type="table" w:styleId="GridTable1Light">
    <w:name w:val="Grid Table 1 Light"/>
    <w:basedOn w:val="TableNormal"/>
    <w:uiPriority w:val="46"/>
    <w:rsid w:val="009B16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CB0566"/>
    <w:rPr>
      <w:color w:val="808080"/>
      <w:shd w:val="clear" w:color="auto" w:fill="E6E6E6"/>
    </w:rPr>
  </w:style>
  <w:style w:type="character" w:styleId="BookTitle">
    <w:name w:val="Book Title"/>
    <w:basedOn w:val="DefaultParagraphFont"/>
    <w:uiPriority w:val="33"/>
    <w:qFormat/>
    <w:rsid w:val="00511C13"/>
    <w:rPr>
      <w:b/>
      <w:bCs/>
      <w:i/>
      <w:iCs/>
      <w:spacing w:val="5"/>
    </w:rPr>
  </w:style>
  <w:style w:type="paragraph" w:styleId="Quote">
    <w:name w:val="Quote"/>
    <w:basedOn w:val="Normal"/>
    <w:next w:val="Normal"/>
    <w:link w:val="QuoteChar"/>
    <w:uiPriority w:val="29"/>
    <w:qFormat/>
    <w:rsid w:val="00511C13"/>
    <w:pPr>
      <w:spacing w:before="200" w:after="160"/>
      <w:ind w:left="864" w:right="864"/>
      <w:jc w:val="center"/>
    </w:pPr>
    <w:rPr>
      <w:i/>
      <w:iCs/>
    </w:rPr>
  </w:style>
  <w:style w:type="character" w:customStyle="1" w:styleId="QuoteChar">
    <w:name w:val="Quote Char"/>
    <w:basedOn w:val="DefaultParagraphFont"/>
    <w:link w:val="Quote"/>
    <w:uiPriority w:val="29"/>
    <w:rsid w:val="00511C13"/>
    <w:rPr>
      <w:rFonts w:ascii="Arial" w:hAnsi="Arial"/>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76351">
      <w:bodyDiv w:val="1"/>
      <w:marLeft w:val="0"/>
      <w:marRight w:val="0"/>
      <w:marTop w:val="0"/>
      <w:marBottom w:val="0"/>
      <w:divBdr>
        <w:top w:val="none" w:sz="0" w:space="0" w:color="auto"/>
        <w:left w:val="none" w:sz="0" w:space="0" w:color="auto"/>
        <w:bottom w:val="none" w:sz="0" w:space="0" w:color="auto"/>
        <w:right w:val="none" w:sz="0" w:space="0" w:color="auto"/>
      </w:divBdr>
    </w:div>
    <w:div w:id="45833482">
      <w:bodyDiv w:val="1"/>
      <w:marLeft w:val="0"/>
      <w:marRight w:val="0"/>
      <w:marTop w:val="0"/>
      <w:marBottom w:val="0"/>
      <w:divBdr>
        <w:top w:val="none" w:sz="0" w:space="0" w:color="auto"/>
        <w:left w:val="none" w:sz="0" w:space="0" w:color="auto"/>
        <w:bottom w:val="none" w:sz="0" w:space="0" w:color="auto"/>
        <w:right w:val="none" w:sz="0" w:space="0" w:color="auto"/>
      </w:divBdr>
    </w:div>
    <w:div w:id="96754636">
      <w:bodyDiv w:val="1"/>
      <w:marLeft w:val="0"/>
      <w:marRight w:val="0"/>
      <w:marTop w:val="0"/>
      <w:marBottom w:val="0"/>
      <w:divBdr>
        <w:top w:val="none" w:sz="0" w:space="0" w:color="auto"/>
        <w:left w:val="none" w:sz="0" w:space="0" w:color="auto"/>
        <w:bottom w:val="none" w:sz="0" w:space="0" w:color="auto"/>
        <w:right w:val="none" w:sz="0" w:space="0" w:color="auto"/>
      </w:divBdr>
    </w:div>
    <w:div w:id="124589635">
      <w:bodyDiv w:val="1"/>
      <w:marLeft w:val="0"/>
      <w:marRight w:val="0"/>
      <w:marTop w:val="0"/>
      <w:marBottom w:val="0"/>
      <w:divBdr>
        <w:top w:val="none" w:sz="0" w:space="0" w:color="auto"/>
        <w:left w:val="none" w:sz="0" w:space="0" w:color="auto"/>
        <w:bottom w:val="none" w:sz="0" w:space="0" w:color="auto"/>
        <w:right w:val="none" w:sz="0" w:space="0" w:color="auto"/>
      </w:divBdr>
    </w:div>
    <w:div w:id="210187870">
      <w:bodyDiv w:val="1"/>
      <w:marLeft w:val="0"/>
      <w:marRight w:val="0"/>
      <w:marTop w:val="0"/>
      <w:marBottom w:val="0"/>
      <w:divBdr>
        <w:top w:val="none" w:sz="0" w:space="0" w:color="auto"/>
        <w:left w:val="none" w:sz="0" w:space="0" w:color="auto"/>
        <w:bottom w:val="none" w:sz="0" w:space="0" w:color="auto"/>
        <w:right w:val="none" w:sz="0" w:space="0" w:color="auto"/>
      </w:divBdr>
    </w:div>
    <w:div w:id="226958295">
      <w:bodyDiv w:val="1"/>
      <w:marLeft w:val="0"/>
      <w:marRight w:val="0"/>
      <w:marTop w:val="0"/>
      <w:marBottom w:val="0"/>
      <w:divBdr>
        <w:top w:val="none" w:sz="0" w:space="0" w:color="auto"/>
        <w:left w:val="none" w:sz="0" w:space="0" w:color="auto"/>
        <w:bottom w:val="none" w:sz="0" w:space="0" w:color="auto"/>
        <w:right w:val="none" w:sz="0" w:space="0" w:color="auto"/>
      </w:divBdr>
    </w:div>
    <w:div w:id="307176211">
      <w:bodyDiv w:val="1"/>
      <w:marLeft w:val="0"/>
      <w:marRight w:val="0"/>
      <w:marTop w:val="0"/>
      <w:marBottom w:val="0"/>
      <w:divBdr>
        <w:top w:val="none" w:sz="0" w:space="0" w:color="auto"/>
        <w:left w:val="none" w:sz="0" w:space="0" w:color="auto"/>
        <w:bottom w:val="none" w:sz="0" w:space="0" w:color="auto"/>
        <w:right w:val="none" w:sz="0" w:space="0" w:color="auto"/>
      </w:divBdr>
    </w:div>
    <w:div w:id="327487898">
      <w:bodyDiv w:val="1"/>
      <w:marLeft w:val="0"/>
      <w:marRight w:val="0"/>
      <w:marTop w:val="0"/>
      <w:marBottom w:val="0"/>
      <w:divBdr>
        <w:top w:val="none" w:sz="0" w:space="0" w:color="auto"/>
        <w:left w:val="none" w:sz="0" w:space="0" w:color="auto"/>
        <w:bottom w:val="none" w:sz="0" w:space="0" w:color="auto"/>
        <w:right w:val="none" w:sz="0" w:space="0" w:color="auto"/>
      </w:divBdr>
    </w:div>
    <w:div w:id="384793812">
      <w:bodyDiv w:val="1"/>
      <w:marLeft w:val="0"/>
      <w:marRight w:val="0"/>
      <w:marTop w:val="0"/>
      <w:marBottom w:val="0"/>
      <w:divBdr>
        <w:top w:val="none" w:sz="0" w:space="0" w:color="auto"/>
        <w:left w:val="none" w:sz="0" w:space="0" w:color="auto"/>
        <w:bottom w:val="none" w:sz="0" w:space="0" w:color="auto"/>
        <w:right w:val="none" w:sz="0" w:space="0" w:color="auto"/>
      </w:divBdr>
    </w:div>
    <w:div w:id="443502530">
      <w:bodyDiv w:val="1"/>
      <w:marLeft w:val="0"/>
      <w:marRight w:val="0"/>
      <w:marTop w:val="0"/>
      <w:marBottom w:val="0"/>
      <w:divBdr>
        <w:top w:val="none" w:sz="0" w:space="0" w:color="auto"/>
        <w:left w:val="none" w:sz="0" w:space="0" w:color="auto"/>
        <w:bottom w:val="none" w:sz="0" w:space="0" w:color="auto"/>
        <w:right w:val="none" w:sz="0" w:space="0" w:color="auto"/>
      </w:divBdr>
    </w:div>
    <w:div w:id="478692958">
      <w:bodyDiv w:val="1"/>
      <w:marLeft w:val="0"/>
      <w:marRight w:val="0"/>
      <w:marTop w:val="0"/>
      <w:marBottom w:val="0"/>
      <w:divBdr>
        <w:top w:val="none" w:sz="0" w:space="0" w:color="auto"/>
        <w:left w:val="none" w:sz="0" w:space="0" w:color="auto"/>
        <w:bottom w:val="none" w:sz="0" w:space="0" w:color="auto"/>
        <w:right w:val="none" w:sz="0" w:space="0" w:color="auto"/>
      </w:divBdr>
    </w:div>
    <w:div w:id="486017512">
      <w:bodyDiv w:val="1"/>
      <w:marLeft w:val="0"/>
      <w:marRight w:val="0"/>
      <w:marTop w:val="0"/>
      <w:marBottom w:val="0"/>
      <w:divBdr>
        <w:top w:val="none" w:sz="0" w:space="0" w:color="auto"/>
        <w:left w:val="none" w:sz="0" w:space="0" w:color="auto"/>
        <w:bottom w:val="none" w:sz="0" w:space="0" w:color="auto"/>
        <w:right w:val="none" w:sz="0" w:space="0" w:color="auto"/>
      </w:divBdr>
    </w:div>
    <w:div w:id="500586587">
      <w:bodyDiv w:val="1"/>
      <w:marLeft w:val="0"/>
      <w:marRight w:val="0"/>
      <w:marTop w:val="0"/>
      <w:marBottom w:val="0"/>
      <w:divBdr>
        <w:top w:val="none" w:sz="0" w:space="0" w:color="auto"/>
        <w:left w:val="none" w:sz="0" w:space="0" w:color="auto"/>
        <w:bottom w:val="none" w:sz="0" w:space="0" w:color="auto"/>
        <w:right w:val="none" w:sz="0" w:space="0" w:color="auto"/>
      </w:divBdr>
    </w:div>
    <w:div w:id="676926939">
      <w:bodyDiv w:val="1"/>
      <w:marLeft w:val="0"/>
      <w:marRight w:val="0"/>
      <w:marTop w:val="0"/>
      <w:marBottom w:val="0"/>
      <w:divBdr>
        <w:top w:val="none" w:sz="0" w:space="0" w:color="auto"/>
        <w:left w:val="none" w:sz="0" w:space="0" w:color="auto"/>
        <w:bottom w:val="none" w:sz="0" w:space="0" w:color="auto"/>
        <w:right w:val="none" w:sz="0" w:space="0" w:color="auto"/>
      </w:divBdr>
    </w:div>
    <w:div w:id="798647142">
      <w:bodyDiv w:val="1"/>
      <w:marLeft w:val="0"/>
      <w:marRight w:val="0"/>
      <w:marTop w:val="0"/>
      <w:marBottom w:val="0"/>
      <w:divBdr>
        <w:top w:val="none" w:sz="0" w:space="0" w:color="auto"/>
        <w:left w:val="none" w:sz="0" w:space="0" w:color="auto"/>
        <w:bottom w:val="none" w:sz="0" w:space="0" w:color="auto"/>
        <w:right w:val="none" w:sz="0" w:space="0" w:color="auto"/>
      </w:divBdr>
    </w:div>
    <w:div w:id="820004701">
      <w:bodyDiv w:val="1"/>
      <w:marLeft w:val="0"/>
      <w:marRight w:val="0"/>
      <w:marTop w:val="0"/>
      <w:marBottom w:val="0"/>
      <w:divBdr>
        <w:top w:val="none" w:sz="0" w:space="0" w:color="auto"/>
        <w:left w:val="none" w:sz="0" w:space="0" w:color="auto"/>
        <w:bottom w:val="none" w:sz="0" w:space="0" w:color="auto"/>
        <w:right w:val="none" w:sz="0" w:space="0" w:color="auto"/>
      </w:divBdr>
    </w:div>
    <w:div w:id="851335452">
      <w:bodyDiv w:val="1"/>
      <w:marLeft w:val="0"/>
      <w:marRight w:val="0"/>
      <w:marTop w:val="0"/>
      <w:marBottom w:val="0"/>
      <w:divBdr>
        <w:top w:val="none" w:sz="0" w:space="0" w:color="auto"/>
        <w:left w:val="none" w:sz="0" w:space="0" w:color="auto"/>
        <w:bottom w:val="none" w:sz="0" w:space="0" w:color="auto"/>
        <w:right w:val="none" w:sz="0" w:space="0" w:color="auto"/>
      </w:divBdr>
    </w:div>
    <w:div w:id="877276491">
      <w:bodyDiv w:val="1"/>
      <w:marLeft w:val="0"/>
      <w:marRight w:val="0"/>
      <w:marTop w:val="0"/>
      <w:marBottom w:val="0"/>
      <w:divBdr>
        <w:top w:val="none" w:sz="0" w:space="0" w:color="auto"/>
        <w:left w:val="none" w:sz="0" w:space="0" w:color="auto"/>
        <w:bottom w:val="none" w:sz="0" w:space="0" w:color="auto"/>
        <w:right w:val="none" w:sz="0" w:space="0" w:color="auto"/>
      </w:divBdr>
    </w:div>
    <w:div w:id="981814000">
      <w:bodyDiv w:val="1"/>
      <w:marLeft w:val="0"/>
      <w:marRight w:val="0"/>
      <w:marTop w:val="0"/>
      <w:marBottom w:val="0"/>
      <w:divBdr>
        <w:top w:val="none" w:sz="0" w:space="0" w:color="auto"/>
        <w:left w:val="none" w:sz="0" w:space="0" w:color="auto"/>
        <w:bottom w:val="none" w:sz="0" w:space="0" w:color="auto"/>
        <w:right w:val="none" w:sz="0" w:space="0" w:color="auto"/>
      </w:divBdr>
    </w:div>
    <w:div w:id="1043673268">
      <w:bodyDiv w:val="1"/>
      <w:marLeft w:val="0"/>
      <w:marRight w:val="0"/>
      <w:marTop w:val="0"/>
      <w:marBottom w:val="0"/>
      <w:divBdr>
        <w:top w:val="none" w:sz="0" w:space="0" w:color="auto"/>
        <w:left w:val="none" w:sz="0" w:space="0" w:color="auto"/>
        <w:bottom w:val="none" w:sz="0" w:space="0" w:color="auto"/>
        <w:right w:val="none" w:sz="0" w:space="0" w:color="auto"/>
      </w:divBdr>
    </w:div>
    <w:div w:id="1064914852">
      <w:bodyDiv w:val="1"/>
      <w:marLeft w:val="0"/>
      <w:marRight w:val="0"/>
      <w:marTop w:val="0"/>
      <w:marBottom w:val="0"/>
      <w:divBdr>
        <w:top w:val="none" w:sz="0" w:space="0" w:color="auto"/>
        <w:left w:val="none" w:sz="0" w:space="0" w:color="auto"/>
        <w:bottom w:val="none" w:sz="0" w:space="0" w:color="auto"/>
        <w:right w:val="none" w:sz="0" w:space="0" w:color="auto"/>
      </w:divBdr>
    </w:div>
    <w:div w:id="1105271682">
      <w:bodyDiv w:val="1"/>
      <w:marLeft w:val="0"/>
      <w:marRight w:val="0"/>
      <w:marTop w:val="0"/>
      <w:marBottom w:val="0"/>
      <w:divBdr>
        <w:top w:val="none" w:sz="0" w:space="0" w:color="auto"/>
        <w:left w:val="none" w:sz="0" w:space="0" w:color="auto"/>
        <w:bottom w:val="none" w:sz="0" w:space="0" w:color="auto"/>
        <w:right w:val="none" w:sz="0" w:space="0" w:color="auto"/>
      </w:divBdr>
    </w:div>
    <w:div w:id="1116220957">
      <w:bodyDiv w:val="1"/>
      <w:marLeft w:val="0"/>
      <w:marRight w:val="0"/>
      <w:marTop w:val="0"/>
      <w:marBottom w:val="0"/>
      <w:divBdr>
        <w:top w:val="none" w:sz="0" w:space="0" w:color="auto"/>
        <w:left w:val="none" w:sz="0" w:space="0" w:color="auto"/>
        <w:bottom w:val="none" w:sz="0" w:space="0" w:color="auto"/>
        <w:right w:val="none" w:sz="0" w:space="0" w:color="auto"/>
      </w:divBdr>
      <w:divsChild>
        <w:div w:id="1730960535">
          <w:marLeft w:val="0"/>
          <w:marRight w:val="0"/>
          <w:marTop w:val="0"/>
          <w:marBottom w:val="0"/>
          <w:divBdr>
            <w:top w:val="none" w:sz="0" w:space="0" w:color="auto"/>
            <w:left w:val="none" w:sz="0" w:space="0" w:color="auto"/>
            <w:bottom w:val="none" w:sz="0" w:space="0" w:color="auto"/>
            <w:right w:val="none" w:sz="0" w:space="0" w:color="auto"/>
          </w:divBdr>
          <w:divsChild>
            <w:div w:id="2074617254">
              <w:marLeft w:val="0"/>
              <w:marRight w:val="0"/>
              <w:marTop w:val="0"/>
              <w:marBottom w:val="0"/>
              <w:divBdr>
                <w:top w:val="none" w:sz="0" w:space="0" w:color="auto"/>
                <w:left w:val="none" w:sz="0" w:space="0" w:color="auto"/>
                <w:bottom w:val="none" w:sz="0" w:space="0" w:color="auto"/>
                <w:right w:val="none" w:sz="0" w:space="0" w:color="auto"/>
              </w:divBdr>
              <w:divsChild>
                <w:div w:id="1479959372">
                  <w:marLeft w:val="0"/>
                  <w:marRight w:val="0"/>
                  <w:marTop w:val="0"/>
                  <w:marBottom w:val="0"/>
                  <w:divBdr>
                    <w:top w:val="none" w:sz="0" w:space="0" w:color="auto"/>
                    <w:left w:val="none" w:sz="0" w:space="0" w:color="auto"/>
                    <w:bottom w:val="none" w:sz="0" w:space="0" w:color="auto"/>
                    <w:right w:val="none" w:sz="0" w:space="0" w:color="auto"/>
                  </w:divBdr>
                  <w:divsChild>
                    <w:div w:id="2018654121">
                      <w:marLeft w:val="0"/>
                      <w:marRight w:val="0"/>
                      <w:marTop w:val="0"/>
                      <w:marBottom w:val="0"/>
                      <w:divBdr>
                        <w:top w:val="none" w:sz="0" w:space="0" w:color="auto"/>
                        <w:left w:val="none" w:sz="0" w:space="0" w:color="auto"/>
                        <w:bottom w:val="none" w:sz="0" w:space="0" w:color="auto"/>
                        <w:right w:val="none" w:sz="0" w:space="0" w:color="auto"/>
                      </w:divBdr>
                      <w:divsChild>
                        <w:div w:id="225651601">
                          <w:marLeft w:val="0"/>
                          <w:marRight w:val="0"/>
                          <w:marTop w:val="0"/>
                          <w:marBottom w:val="0"/>
                          <w:divBdr>
                            <w:top w:val="none" w:sz="0" w:space="0" w:color="auto"/>
                            <w:left w:val="none" w:sz="0" w:space="0" w:color="auto"/>
                            <w:bottom w:val="none" w:sz="0" w:space="0" w:color="auto"/>
                            <w:right w:val="none" w:sz="0" w:space="0" w:color="auto"/>
                          </w:divBdr>
                          <w:divsChild>
                            <w:div w:id="13532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002279">
      <w:bodyDiv w:val="1"/>
      <w:marLeft w:val="0"/>
      <w:marRight w:val="0"/>
      <w:marTop w:val="0"/>
      <w:marBottom w:val="0"/>
      <w:divBdr>
        <w:top w:val="none" w:sz="0" w:space="0" w:color="auto"/>
        <w:left w:val="none" w:sz="0" w:space="0" w:color="auto"/>
        <w:bottom w:val="none" w:sz="0" w:space="0" w:color="auto"/>
        <w:right w:val="none" w:sz="0" w:space="0" w:color="auto"/>
      </w:divBdr>
    </w:div>
    <w:div w:id="1366559973">
      <w:bodyDiv w:val="1"/>
      <w:marLeft w:val="0"/>
      <w:marRight w:val="0"/>
      <w:marTop w:val="0"/>
      <w:marBottom w:val="0"/>
      <w:divBdr>
        <w:top w:val="none" w:sz="0" w:space="0" w:color="auto"/>
        <w:left w:val="none" w:sz="0" w:space="0" w:color="auto"/>
        <w:bottom w:val="none" w:sz="0" w:space="0" w:color="auto"/>
        <w:right w:val="none" w:sz="0" w:space="0" w:color="auto"/>
      </w:divBdr>
      <w:divsChild>
        <w:div w:id="1615558206">
          <w:marLeft w:val="0"/>
          <w:marRight w:val="0"/>
          <w:marTop w:val="0"/>
          <w:marBottom w:val="0"/>
          <w:divBdr>
            <w:top w:val="none" w:sz="0" w:space="16" w:color="auto"/>
            <w:left w:val="none" w:sz="0" w:space="8" w:color="auto"/>
            <w:bottom w:val="none" w:sz="0" w:space="9" w:color="auto"/>
            <w:right w:val="none" w:sz="0" w:space="8" w:color="auto"/>
          </w:divBdr>
          <w:divsChild>
            <w:div w:id="567768592">
              <w:marLeft w:val="0"/>
              <w:marRight w:val="0"/>
              <w:marTop w:val="0"/>
              <w:marBottom w:val="0"/>
              <w:divBdr>
                <w:top w:val="none" w:sz="0" w:space="0" w:color="auto"/>
                <w:left w:val="none" w:sz="0" w:space="0" w:color="auto"/>
                <w:bottom w:val="none" w:sz="0" w:space="0" w:color="auto"/>
                <w:right w:val="none" w:sz="0" w:space="0" w:color="auto"/>
              </w:divBdr>
              <w:divsChild>
                <w:div w:id="1933582552">
                  <w:marLeft w:val="0"/>
                  <w:marRight w:val="0"/>
                  <w:marTop w:val="0"/>
                  <w:marBottom w:val="0"/>
                  <w:divBdr>
                    <w:top w:val="none" w:sz="0" w:space="0" w:color="auto"/>
                    <w:left w:val="none" w:sz="0" w:space="0" w:color="auto"/>
                    <w:bottom w:val="none" w:sz="0" w:space="0" w:color="auto"/>
                    <w:right w:val="none" w:sz="0" w:space="0" w:color="auto"/>
                  </w:divBdr>
                  <w:divsChild>
                    <w:div w:id="648442661">
                      <w:marLeft w:val="0"/>
                      <w:marRight w:val="150"/>
                      <w:marTop w:val="0"/>
                      <w:marBottom w:val="0"/>
                      <w:divBdr>
                        <w:top w:val="none" w:sz="0" w:space="0" w:color="auto"/>
                        <w:left w:val="none" w:sz="0" w:space="0" w:color="auto"/>
                        <w:bottom w:val="none" w:sz="0" w:space="0" w:color="auto"/>
                        <w:right w:val="none" w:sz="0" w:space="0" w:color="auto"/>
                      </w:divBdr>
                      <w:divsChild>
                        <w:div w:id="813983512">
                          <w:marLeft w:val="0"/>
                          <w:marRight w:val="0"/>
                          <w:marTop w:val="0"/>
                          <w:marBottom w:val="0"/>
                          <w:divBdr>
                            <w:top w:val="none" w:sz="0" w:space="0" w:color="auto"/>
                            <w:left w:val="none" w:sz="0" w:space="0" w:color="auto"/>
                            <w:bottom w:val="none" w:sz="0" w:space="0" w:color="auto"/>
                            <w:right w:val="none" w:sz="0" w:space="0" w:color="auto"/>
                          </w:divBdr>
                          <w:divsChild>
                            <w:div w:id="1811628368">
                              <w:marLeft w:val="0"/>
                              <w:marRight w:val="0"/>
                              <w:marTop w:val="0"/>
                              <w:marBottom w:val="300"/>
                              <w:divBdr>
                                <w:top w:val="none" w:sz="0" w:space="0" w:color="auto"/>
                                <w:left w:val="none" w:sz="0" w:space="0" w:color="auto"/>
                                <w:bottom w:val="none" w:sz="0" w:space="0" w:color="auto"/>
                                <w:right w:val="none" w:sz="0" w:space="0" w:color="auto"/>
                              </w:divBdr>
                              <w:divsChild>
                                <w:div w:id="708189916">
                                  <w:marLeft w:val="0"/>
                                  <w:marRight w:val="0"/>
                                  <w:marTop w:val="0"/>
                                  <w:marBottom w:val="0"/>
                                  <w:divBdr>
                                    <w:top w:val="none" w:sz="0" w:space="0" w:color="auto"/>
                                    <w:left w:val="none" w:sz="0" w:space="0" w:color="auto"/>
                                    <w:bottom w:val="none" w:sz="0" w:space="0" w:color="auto"/>
                                    <w:right w:val="none" w:sz="0" w:space="0" w:color="auto"/>
                                  </w:divBdr>
                                  <w:divsChild>
                                    <w:div w:id="670377124">
                                      <w:marLeft w:val="0"/>
                                      <w:marRight w:val="0"/>
                                      <w:marTop w:val="0"/>
                                      <w:marBottom w:val="0"/>
                                      <w:divBdr>
                                        <w:top w:val="none" w:sz="0" w:space="0" w:color="auto"/>
                                        <w:left w:val="none" w:sz="0" w:space="0" w:color="auto"/>
                                        <w:bottom w:val="none" w:sz="0" w:space="0" w:color="auto"/>
                                        <w:right w:val="none" w:sz="0" w:space="0" w:color="auto"/>
                                      </w:divBdr>
                                      <w:divsChild>
                                        <w:div w:id="1870141726">
                                          <w:marLeft w:val="0"/>
                                          <w:marRight w:val="0"/>
                                          <w:marTop w:val="0"/>
                                          <w:marBottom w:val="0"/>
                                          <w:divBdr>
                                            <w:top w:val="none" w:sz="0" w:space="0" w:color="auto"/>
                                            <w:left w:val="none" w:sz="0" w:space="0" w:color="auto"/>
                                            <w:bottom w:val="none" w:sz="0" w:space="0" w:color="auto"/>
                                            <w:right w:val="none" w:sz="0" w:space="0" w:color="auto"/>
                                          </w:divBdr>
                                          <w:divsChild>
                                            <w:div w:id="451097359">
                                              <w:marLeft w:val="0"/>
                                              <w:marRight w:val="0"/>
                                              <w:marTop w:val="0"/>
                                              <w:marBottom w:val="0"/>
                                              <w:divBdr>
                                                <w:top w:val="none" w:sz="0" w:space="0" w:color="auto"/>
                                                <w:left w:val="none" w:sz="0" w:space="0" w:color="auto"/>
                                                <w:bottom w:val="none" w:sz="0" w:space="0" w:color="auto"/>
                                                <w:right w:val="none" w:sz="0" w:space="0" w:color="auto"/>
                                              </w:divBdr>
                                              <w:divsChild>
                                                <w:div w:id="171719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3889173">
      <w:bodyDiv w:val="1"/>
      <w:marLeft w:val="0"/>
      <w:marRight w:val="0"/>
      <w:marTop w:val="0"/>
      <w:marBottom w:val="0"/>
      <w:divBdr>
        <w:top w:val="none" w:sz="0" w:space="0" w:color="auto"/>
        <w:left w:val="none" w:sz="0" w:space="0" w:color="auto"/>
        <w:bottom w:val="none" w:sz="0" w:space="0" w:color="auto"/>
        <w:right w:val="none" w:sz="0" w:space="0" w:color="auto"/>
      </w:divBdr>
      <w:divsChild>
        <w:div w:id="163477855">
          <w:marLeft w:val="0"/>
          <w:marRight w:val="0"/>
          <w:marTop w:val="750"/>
          <w:marBottom w:val="0"/>
          <w:divBdr>
            <w:top w:val="none" w:sz="0" w:space="0" w:color="auto"/>
            <w:left w:val="none" w:sz="0" w:space="0" w:color="auto"/>
            <w:bottom w:val="none" w:sz="0" w:space="0" w:color="auto"/>
            <w:right w:val="none" w:sz="0" w:space="0" w:color="auto"/>
          </w:divBdr>
          <w:divsChild>
            <w:div w:id="708649316">
              <w:marLeft w:val="-225"/>
              <w:marRight w:val="-225"/>
              <w:marTop w:val="0"/>
              <w:marBottom w:val="0"/>
              <w:divBdr>
                <w:top w:val="none" w:sz="0" w:space="0" w:color="auto"/>
                <w:left w:val="none" w:sz="0" w:space="0" w:color="auto"/>
                <w:bottom w:val="none" w:sz="0" w:space="0" w:color="auto"/>
                <w:right w:val="none" w:sz="0" w:space="0" w:color="auto"/>
              </w:divBdr>
              <w:divsChild>
                <w:div w:id="619412757">
                  <w:marLeft w:val="0"/>
                  <w:marRight w:val="0"/>
                  <w:marTop w:val="0"/>
                  <w:marBottom w:val="0"/>
                  <w:divBdr>
                    <w:top w:val="none" w:sz="0" w:space="0" w:color="auto"/>
                    <w:left w:val="none" w:sz="0" w:space="0" w:color="auto"/>
                    <w:bottom w:val="none" w:sz="0" w:space="0" w:color="auto"/>
                    <w:right w:val="none" w:sz="0" w:space="0" w:color="auto"/>
                  </w:divBdr>
                  <w:divsChild>
                    <w:div w:id="426463465">
                      <w:marLeft w:val="0"/>
                      <w:marRight w:val="0"/>
                      <w:marTop w:val="0"/>
                      <w:marBottom w:val="0"/>
                      <w:divBdr>
                        <w:top w:val="none" w:sz="0" w:space="0" w:color="auto"/>
                        <w:left w:val="none" w:sz="0" w:space="0" w:color="auto"/>
                        <w:bottom w:val="none" w:sz="0" w:space="0" w:color="auto"/>
                        <w:right w:val="none" w:sz="0" w:space="0" w:color="auto"/>
                      </w:divBdr>
                      <w:divsChild>
                        <w:div w:id="1879736159">
                          <w:marLeft w:val="-225"/>
                          <w:marRight w:val="-225"/>
                          <w:marTop w:val="0"/>
                          <w:marBottom w:val="0"/>
                          <w:divBdr>
                            <w:top w:val="none" w:sz="0" w:space="0" w:color="auto"/>
                            <w:left w:val="none" w:sz="0" w:space="0" w:color="auto"/>
                            <w:bottom w:val="none" w:sz="0" w:space="0" w:color="auto"/>
                            <w:right w:val="none" w:sz="0" w:space="0" w:color="auto"/>
                          </w:divBdr>
                          <w:divsChild>
                            <w:div w:id="448204787">
                              <w:marLeft w:val="0"/>
                              <w:marRight w:val="0"/>
                              <w:marTop w:val="0"/>
                              <w:marBottom w:val="0"/>
                              <w:divBdr>
                                <w:top w:val="none" w:sz="0" w:space="0" w:color="auto"/>
                                <w:left w:val="none" w:sz="0" w:space="0" w:color="auto"/>
                                <w:bottom w:val="none" w:sz="0" w:space="0" w:color="auto"/>
                                <w:right w:val="none" w:sz="0" w:space="0" w:color="auto"/>
                              </w:divBdr>
                              <w:divsChild>
                                <w:div w:id="82533516">
                                  <w:marLeft w:val="0"/>
                                  <w:marRight w:val="0"/>
                                  <w:marTop w:val="0"/>
                                  <w:marBottom w:val="0"/>
                                  <w:divBdr>
                                    <w:top w:val="none" w:sz="0" w:space="0" w:color="auto"/>
                                    <w:left w:val="none" w:sz="0" w:space="0" w:color="auto"/>
                                    <w:bottom w:val="none" w:sz="0" w:space="0" w:color="auto"/>
                                    <w:right w:val="none" w:sz="0" w:space="0" w:color="auto"/>
                                  </w:divBdr>
                                  <w:divsChild>
                                    <w:div w:id="900796617">
                                      <w:marLeft w:val="0"/>
                                      <w:marRight w:val="0"/>
                                      <w:marTop w:val="0"/>
                                      <w:marBottom w:val="0"/>
                                      <w:divBdr>
                                        <w:top w:val="none" w:sz="0" w:space="0" w:color="auto"/>
                                        <w:left w:val="none" w:sz="0" w:space="0" w:color="auto"/>
                                        <w:bottom w:val="none" w:sz="0" w:space="0" w:color="auto"/>
                                        <w:right w:val="none" w:sz="0" w:space="0" w:color="auto"/>
                                      </w:divBdr>
                                    </w:div>
                                    <w:div w:id="217209522">
                                      <w:marLeft w:val="0"/>
                                      <w:marRight w:val="0"/>
                                      <w:marTop w:val="0"/>
                                      <w:marBottom w:val="0"/>
                                      <w:divBdr>
                                        <w:top w:val="none" w:sz="0" w:space="0" w:color="auto"/>
                                        <w:left w:val="none" w:sz="0" w:space="0" w:color="auto"/>
                                        <w:bottom w:val="none" w:sz="0" w:space="0" w:color="auto"/>
                                        <w:right w:val="none" w:sz="0" w:space="0" w:color="auto"/>
                                      </w:divBdr>
                                    </w:div>
                                    <w:div w:id="1866753198">
                                      <w:marLeft w:val="0"/>
                                      <w:marRight w:val="0"/>
                                      <w:marTop w:val="0"/>
                                      <w:marBottom w:val="0"/>
                                      <w:divBdr>
                                        <w:top w:val="none" w:sz="0" w:space="0" w:color="auto"/>
                                        <w:left w:val="none" w:sz="0" w:space="0" w:color="auto"/>
                                        <w:bottom w:val="none" w:sz="0" w:space="0" w:color="auto"/>
                                        <w:right w:val="none" w:sz="0" w:space="0" w:color="auto"/>
                                      </w:divBdr>
                                    </w:div>
                                    <w:div w:id="121189507">
                                      <w:marLeft w:val="0"/>
                                      <w:marRight w:val="0"/>
                                      <w:marTop w:val="0"/>
                                      <w:marBottom w:val="0"/>
                                      <w:divBdr>
                                        <w:top w:val="none" w:sz="0" w:space="0" w:color="auto"/>
                                        <w:left w:val="none" w:sz="0" w:space="0" w:color="auto"/>
                                        <w:bottom w:val="none" w:sz="0" w:space="0" w:color="auto"/>
                                        <w:right w:val="none" w:sz="0" w:space="0" w:color="auto"/>
                                      </w:divBdr>
                                    </w:div>
                                    <w:div w:id="341662873">
                                      <w:marLeft w:val="0"/>
                                      <w:marRight w:val="0"/>
                                      <w:marTop w:val="0"/>
                                      <w:marBottom w:val="0"/>
                                      <w:divBdr>
                                        <w:top w:val="none" w:sz="0" w:space="0" w:color="auto"/>
                                        <w:left w:val="none" w:sz="0" w:space="0" w:color="auto"/>
                                        <w:bottom w:val="none" w:sz="0" w:space="0" w:color="auto"/>
                                        <w:right w:val="none" w:sz="0" w:space="0" w:color="auto"/>
                                      </w:divBdr>
                                    </w:div>
                                    <w:div w:id="1826117709">
                                      <w:marLeft w:val="0"/>
                                      <w:marRight w:val="0"/>
                                      <w:marTop w:val="0"/>
                                      <w:marBottom w:val="0"/>
                                      <w:divBdr>
                                        <w:top w:val="none" w:sz="0" w:space="0" w:color="auto"/>
                                        <w:left w:val="none" w:sz="0" w:space="0" w:color="auto"/>
                                        <w:bottom w:val="none" w:sz="0" w:space="0" w:color="auto"/>
                                        <w:right w:val="none" w:sz="0" w:space="0" w:color="auto"/>
                                      </w:divBdr>
                                    </w:div>
                                    <w:div w:id="765347584">
                                      <w:marLeft w:val="0"/>
                                      <w:marRight w:val="0"/>
                                      <w:marTop w:val="0"/>
                                      <w:marBottom w:val="0"/>
                                      <w:divBdr>
                                        <w:top w:val="none" w:sz="0" w:space="0" w:color="auto"/>
                                        <w:left w:val="none" w:sz="0" w:space="0" w:color="auto"/>
                                        <w:bottom w:val="none" w:sz="0" w:space="0" w:color="auto"/>
                                        <w:right w:val="none" w:sz="0" w:space="0" w:color="auto"/>
                                      </w:divBdr>
                                    </w:div>
                                    <w:div w:id="1966496879">
                                      <w:marLeft w:val="0"/>
                                      <w:marRight w:val="0"/>
                                      <w:marTop w:val="0"/>
                                      <w:marBottom w:val="0"/>
                                      <w:divBdr>
                                        <w:top w:val="none" w:sz="0" w:space="0" w:color="auto"/>
                                        <w:left w:val="none" w:sz="0" w:space="0" w:color="auto"/>
                                        <w:bottom w:val="none" w:sz="0" w:space="0" w:color="auto"/>
                                        <w:right w:val="none" w:sz="0" w:space="0" w:color="auto"/>
                                      </w:divBdr>
                                    </w:div>
                                    <w:div w:id="977882402">
                                      <w:marLeft w:val="0"/>
                                      <w:marRight w:val="0"/>
                                      <w:marTop w:val="0"/>
                                      <w:marBottom w:val="0"/>
                                      <w:divBdr>
                                        <w:top w:val="none" w:sz="0" w:space="0" w:color="auto"/>
                                        <w:left w:val="none" w:sz="0" w:space="0" w:color="auto"/>
                                        <w:bottom w:val="none" w:sz="0" w:space="0" w:color="auto"/>
                                        <w:right w:val="none" w:sz="0" w:space="0" w:color="auto"/>
                                      </w:divBdr>
                                    </w:div>
                                    <w:div w:id="512770343">
                                      <w:marLeft w:val="0"/>
                                      <w:marRight w:val="0"/>
                                      <w:marTop w:val="0"/>
                                      <w:marBottom w:val="0"/>
                                      <w:divBdr>
                                        <w:top w:val="none" w:sz="0" w:space="0" w:color="auto"/>
                                        <w:left w:val="none" w:sz="0" w:space="0" w:color="auto"/>
                                        <w:bottom w:val="none" w:sz="0" w:space="0" w:color="auto"/>
                                        <w:right w:val="none" w:sz="0" w:space="0" w:color="auto"/>
                                      </w:divBdr>
                                    </w:div>
                                    <w:div w:id="10955901">
                                      <w:marLeft w:val="0"/>
                                      <w:marRight w:val="0"/>
                                      <w:marTop w:val="0"/>
                                      <w:marBottom w:val="0"/>
                                      <w:divBdr>
                                        <w:top w:val="none" w:sz="0" w:space="0" w:color="auto"/>
                                        <w:left w:val="none" w:sz="0" w:space="0" w:color="auto"/>
                                        <w:bottom w:val="none" w:sz="0" w:space="0" w:color="auto"/>
                                        <w:right w:val="none" w:sz="0" w:space="0" w:color="auto"/>
                                      </w:divBdr>
                                    </w:div>
                                    <w:div w:id="1203052247">
                                      <w:marLeft w:val="0"/>
                                      <w:marRight w:val="0"/>
                                      <w:marTop w:val="0"/>
                                      <w:marBottom w:val="0"/>
                                      <w:divBdr>
                                        <w:top w:val="none" w:sz="0" w:space="0" w:color="auto"/>
                                        <w:left w:val="none" w:sz="0" w:space="0" w:color="auto"/>
                                        <w:bottom w:val="none" w:sz="0" w:space="0" w:color="auto"/>
                                        <w:right w:val="none" w:sz="0" w:space="0" w:color="auto"/>
                                      </w:divBdr>
                                    </w:div>
                                    <w:div w:id="602765006">
                                      <w:marLeft w:val="0"/>
                                      <w:marRight w:val="0"/>
                                      <w:marTop w:val="0"/>
                                      <w:marBottom w:val="0"/>
                                      <w:divBdr>
                                        <w:top w:val="none" w:sz="0" w:space="0" w:color="auto"/>
                                        <w:left w:val="none" w:sz="0" w:space="0" w:color="auto"/>
                                        <w:bottom w:val="none" w:sz="0" w:space="0" w:color="auto"/>
                                        <w:right w:val="none" w:sz="0" w:space="0" w:color="auto"/>
                                      </w:divBdr>
                                    </w:div>
                                    <w:div w:id="1830437686">
                                      <w:marLeft w:val="0"/>
                                      <w:marRight w:val="0"/>
                                      <w:marTop w:val="0"/>
                                      <w:marBottom w:val="0"/>
                                      <w:divBdr>
                                        <w:top w:val="none" w:sz="0" w:space="0" w:color="auto"/>
                                        <w:left w:val="none" w:sz="0" w:space="0" w:color="auto"/>
                                        <w:bottom w:val="none" w:sz="0" w:space="0" w:color="auto"/>
                                        <w:right w:val="none" w:sz="0" w:space="0" w:color="auto"/>
                                      </w:divBdr>
                                    </w:div>
                                    <w:div w:id="310525799">
                                      <w:marLeft w:val="0"/>
                                      <w:marRight w:val="0"/>
                                      <w:marTop w:val="0"/>
                                      <w:marBottom w:val="0"/>
                                      <w:divBdr>
                                        <w:top w:val="none" w:sz="0" w:space="0" w:color="auto"/>
                                        <w:left w:val="none" w:sz="0" w:space="0" w:color="auto"/>
                                        <w:bottom w:val="none" w:sz="0" w:space="0" w:color="auto"/>
                                        <w:right w:val="none" w:sz="0" w:space="0" w:color="auto"/>
                                      </w:divBdr>
                                    </w:div>
                                    <w:div w:id="2020034921">
                                      <w:marLeft w:val="0"/>
                                      <w:marRight w:val="0"/>
                                      <w:marTop w:val="0"/>
                                      <w:marBottom w:val="0"/>
                                      <w:divBdr>
                                        <w:top w:val="none" w:sz="0" w:space="0" w:color="auto"/>
                                        <w:left w:val="none" w:sz="0" w:space="0" w:color="auto"/>
                                        <w:bottom w:val="none" w:sz="0" w:space="0" w:color="auto"/>
                                        <w:right w:val="none" w:sz="0" w:space="0" w:color="auto"/>
                                      </w:divBdr>
                                    </w:div>
                                    <w:div w:id="1900631456">
                                      <w:marLeft w:val="0"/>
                                      <w:marRight w:val="0"/>
                                      <w:marTop w:val="0"/>
                                      <w:marBottom w:val="0"/>
                                      <w:divBdr>
                                        <w:top w:val="none" w:sz="0" w:space="0" w:color="auto"/>
                                        <w:left w:val="none" w:sz="0" w:space="0" w:color="auto"/>
                                        <w:bottom w:val="none" w:sz="0" w:space="0" w:color="auto"/>
                                        <w:right w:val="none" w:sz="0" w:space="0" w:color="auto"/>
                                      </w:divBdr>
                                    </w:div>
                                    <w:div w:id="18006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716560">
      <w:bodyDiv w:val="1"/>
      <w:marLeft w:val="0"/>
      <w:marRight w:val="0"/>
      <w:marTop w:val="0"/>
      <w:marBottom w:val="0"/>
      <w:divBdr>
        <w:top w:val="none" w:sz="0" w:space="0" w:color="auto"/>
        <w:left w:val="none" w:sz="0" w:space="0" w:color="auto"/>
        <w:bottom w:val="none" w:sz="0" w:space="0" w:color="auto"/>
        <w:right w:val="none" w:sz="0" w:space="0" w:color="auto"/>
      </w:divBdr>
    </w:div>
    <w:div w:id="1573158759">
      <w:bodyDiv w:val="1"/>
      <w:marLeft w:val="0"/>
      <w:marRight w:val="0"/>
      <w:marTop w:val="0"/>
      <w:marBottom w:val="0"/>
      <w:divBdr>
        <w:top w:val="none" w:sz="0" w:space="0" w:color="auto"/>
        <w:left w:val="none" w:sz="0" w:space="0" w:color="auto"/>
        <w:bottom w:val="none" w:sz="0" w:space="0" w:color="auto"/>
        <w:right w:val="none" w:sz="0" w:space="0" w:color="auto"/>
      </w:divBdr>
      <w:divsChild>
        <w:div w:id="1848785703">
          <w:marLeft w:val="0"/>
          <w:marRight w:val="0"/>
          <w:marTop w:val="750"/>
          <w:marBottom w:val="0"/>
          <w:divBdr>
            <w:top w:val="none" w:sz="0" w:space="0" w:color="auto"/>
            <w:left w:val="none" w:sz="0" w:space="0" w:color="auto"/>
            <w:bottom w:val="none" w:sz="0" w:space="0" w:color="auto"/>
            <w:right w:val="none" w:sz="0" w:space="0" w:color="auto"/>
          </w:divBdr>
          <w:divsChild>
            <w:div w:id="1730954474">
              <w:marLeft w:val="-225"/>
              <w:marRight w:val="-225"/>
              <w:marTop w:val="0"/>
              <w:marBottom w:val="0"/>
              <w:divBdr>
                <w:top w:val="none" w:sz="0" w:space="0" w:color="auto"/>
                <w:left w:val="none" w:sz="0" w:space="0" w:color="auto"/>
                <w:bottom w:val="none" w:sz="0" w:space="0" w:color="auto"/>
                <w:right w:val="none" w:sz="0" w:space="0" w:color="auto"/>
              </w:divBdr>
              <w:divsChild>
                <w:div w:id="378172020">
                  <w:marLeft w:val="0"/>
                  <w:marRight w:val="0"/>
                  <w:marTop w:val="0"/>
                  <w:marBottom w:val="0"/>
                  <w:divBdr>
                    <w:top w:val="none" w:sz="0" w:space="0" w:color="auto"/>
                    <w:left w:val="none" w:sz="0" w:space="0" w:color="auto"/>
                    <w:bottom w:val="none" w:sz="0" w:space="0" w:color="auto"/>
                    <w:right w:val="none" w:sz="0" w:space="0" w:color="auto"/>
                  </w:divBdr>
                  <w:divsChild>
                    <w:div w:id="1427654772">
                      <w:marLeft w:val="0"/>
                      <w:marRight w:val="0"/>
                      <w:marTop w:val="0"/>
                      <w:marBottom w:val="0"/>
                      <w:divBdr>
                        <w:top w:val="none" w:sz="0" w:space="0" w:color="auto"/>
                        <w:left w:val="none" w:sz="0" w:space="0" w:color="auto"/>
                        <w:bottom w:val="none" w:sz="0" w:space="0" w:color="auto"/>
                        <w:right w:val="none" w:sz="0" w:space="0" w:color="auto"/>
                      </w:divBdr>
                      <w:divsChild>
                        <w:div w:id="575283071">
                          <w:marLeft w:val="-225"/>
                          <w:marRight w:val="-225"/>
                          <w:marTop w:val="0"/>
                          <w:marBottom w:val="0"/>
                          <w:divBdr>
                            <w:top w:val="none" w:sz="0" w:space="0" w:color="auto"/>
                            <w:left w:val="none" w:sz="0" w:space="0" w:color="auto"/>
                            <w:bottom w:val="none" w:sz="0" w:space="0" w:color="auto"/>
                            <w:right w:val="none" w:sz="0" w:space="0" w:color="auto"/>
                          </w:divBdr>
                          <w:divsChild>
                            <w:div w:id="1593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19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hs.gov/grants/contracts/contract-policies-regulations/hhsar/part-312-acquisition-commercial-items/index.html" TargetMode="External"/><Relationship Id="rId18" Type="http://schemas.openxmlformats.org/officeDocument/2006/relationships/hyperlink" Target="https://www.acquisition.gov/sites/default/files/current/far/html/Subpart%2023_4.html" TargetMode="External"/><Relationship Id="rId26" Type="http://schemas.openxmlformats.org/officeDocument/2006/relationships/hyperlink" Target="https://www.acquisition.gov/sites/default/files/current/far/html/Subpart%2013_1.html" TargetMode="External"/><Relationship Id="rId39" Type="http://schemas.openxmlformats.org/officeDocument/2006/relationships/hyperlink" Target="http://www.fai.gov/" TargetMode="External"/><Relationship Id="rId21" Type="http://schemas.openxmlformats.org/officeDocument/2006/relationships/hyperlink" Target="https://www.acquisition.gov/sites/default/files/current/far/html/Subpart%2013_2.html" TargetMode="External"/><Relationship Id="rId34" Type="http://schemas.openxmlformats.org/officeDocument/2006/relationships/hyperlink" Target="https://oig.hhs.gov/fraud/report-fraud/index.asp" TargetMode="External"/><Relationship Id="rId42" Type="http://schemas.openxmlformats.org/officeDocument/2006/relationships/hyperlink" Target="http://oalm.od.nih.gov/GreenPurchasingForWebsite" TargetMode="External"/><Relationship Id="rId47" Type="http://schemas.openxmlformats.org/officeDocument/2006/relationships/hyperlink" Target="mailto:McDermottMl@od.nih.gov" TargetMode="External"/><Relationship Id="rId50" Type="http://schemas.openxmlformats.org/officeDocument/2006/relationships/hyperlink" Target="mailto:SolomonBJ@od.nih.gov"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cquisition.gov/sites/default/files/current/far/html/FARTOCP08.html" TargetMode="External"/><Relationship Id="rId17" Type="http://schemas.openxmlformats.org/officeDocument/2006/relationships/hyperlink" Target="https://www.acquisition.gov/sites/default/files/current/far/html/Subpart%2023_2.html" TargetMode="External"/><Relationship Id="rId25" Type="http://schemas.openxmlformats.org/officeDocument/2006/relationships/hyperlink" Target="https://www.acquisition.gov/sites/default/files/current/far/html/Subpart%208_4.html" TargetMode="External"/><Relationship Id="rId33" Type="http://schemas.openxmlformats.org/officeDocument/2006/relationships/hyperlink" Target="https://oig.hhs.gov/compliance/self-disclosure-info/files/HHS_OIG_Contractor_Self-Disclosure_Form_April_2014.pdf" TargetMode="External"/><Relationship Id="rId38" Type="http://schemas.openxmlformats.org/officeDocument/2006/relationships/hyperlink" Target="https://hr.nih.gov/training-center/course-catalog/acquisitions-management" TargetMode="External"/><Relationship Id="rId46" Type="http://schemas.openxmlformats.org/officeDocument/2006/relationships/hyperlink" Target="mailto:RomanesA@od.nih.gov" TargetMode="External"/><Relationship Id="rId2" Type="http://schemas.openxmlformats.org/officeDocument/2006/relationships/numbering" Target="numbering.xml"/><Relationship Id="rId16" Type="http://schemas.openxmlformats.org/officeDocument/2006/relationships/hyperlink" Target="https://www.acquisition.gov/sites/default/files/current/far/html/Subpart%2023_1.html" TargetMode="External"/><Relationship Id="rId20" Type="http://schemas.openxmlformats.org/officeDocument/2006/relationships/hyperlink" Target="https://www.acquisition.gov/sites/default/files/current/far/html/Subpart%2013_1.html" TargetMode="External"/><Relationship Id="rId29" Type="http://schemas.openxmlformats.org/officeDocument/2006/relationships/hyperlink" Target="https://oig.hhs.gov/fraud/contract-fraud/index.asp" TargetMode="External"/><Relationship Id="rId41" Type="http://schemas.openxmlformats.org/officeDocument/2006/relationships/hyperlink" Target="http://training.cit.nih.gov/list.aspx?catId=1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quisition.gov/sites/default/files/current/far/html/Subpart%2013_2.html" TargetMode="External"/><Relationship Id="rId24" Type="http://schemas.openxmlformats.org/officeDocument/2006/relationships/hyperlink" Target="https://www.acquisition.gov/sites/default/files/current/far/html/Subpart%2016_5.html" TargetMode="External"/><Relationship Id="rId32" Type="http://schemas.openxmlformats.org/officeDocument/2006/relationships/hyperlink" Target="https://oig.hhs.gov/compliance/self-disclosure-info/contractor.asp" TargetMode="External"/><Relationship Id="rId37" Type="http://schemas.openxmlformats.org/officeDocument/2006/relationships/hyperlink" Target="https://hr.nih.gov/training-center/course-catalog/acquisitions-management" TargetMode="External"/><Relationship Id="rId40" Type="http://schemas.openxmlformats.org/officeDocument/2006/relationships/hyperlink" Target="https://learn.dau.mil/Atlas2/faces/page/atlasSE/login/Login.seam" TargetMode="External"/><Relationship Id="rId45" Type="http://schemas.openxmlformats.org/officeDocument/2006/relationships/hyperlink" Target="mailto:NicholaM@od.nih.gov"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cquisition.gov/sites/default/files/current/far/html/Subpart%2013_2.html" TargetMode="External"/><Relationship Id="rId23" Type="http://schemas.openxmlformats.org/officeDocument/2006/relationships/hyperlink" Target="https://www.acquisition.gov/sites/default/files/current/far/html/Subpart%2016_5.html" TargetMode="External"/><Relationship Id="rId28" Type="http://schemas.openxmlformats.org/officeDocument/2006/relationships/hyperlink" Target="https://oalmsps.od.nih.gov/OAMP/DSAPS/ASRB/SAPhD/Shared%20Documents/Government%20Commercial%20Purchase%20Card%20(GCPC)%20Payment%20Over%20Micro-Purchase%20Threshold%20(MPT)/Use%20of%20Purchase%20Card%20Over%20MPT%20Policy%2020151110.docx?d=wd7881568db27415ebf4e7be67d289274" TargetMode="External"/><Relationship Id="rId36" Type="http://schemas.openxmlformats.org/officeDocument/2006/relationships/hyperlink" Target="https://oma.od.nih.gov/DPI/Pages/Allegations.aspx" TargetMode="External"/><Relationship Id="rId49" Type="http://schemas.openxmlformats.org/officeDocument/2006/relationships/hyperlink" Target="mailto:,%20or%20Barry" TargetMode="External"/><Relationship Id="rId10" Type="http://schemas.openxmlformats.org/officeDocument/2006/relationships/hyperlink" Target="https://www.acquisition.gov/far/current/html/Subpart%2013_2.html" TargetMode="External"/><Relationship Id="rId19" Type="http://schemas.openxmlformats.org/officeDocument/2006/relationships/hyperlink" Target="https://www.acquisition.gov/sites/default/files/current/far/html/Subpart%2023_7.html" TargetMode="External"/><Relationship Id="rId31" Type="http://schemas.openxmlformats.org/officeDocument/2006/relationships/hyperlink" Target="https://youtube.com/embed/QowkFpcztUc?ecver=1" TargetMode="External"/><Relationship Id="rId44" Type="http://schemas.openxmlformats.org/officeDocument/2006/relationships/hyperlink" Target="mailto:BPAProgramBranch@od.nih.gov"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cquisition.gov/sites/default/files/current/far/html/Subpart%2022_4.html" TargetMode="External"/><Relationship Id="rId14" Type="http://schemas.openxmlformats.org/officeDocument/2006/relationships/hyperlink" Target="https://www.acquisition.gov/sites/default/files/current/far/html/Subpart%207_1.html" TargetMode="External"/><Relationship Id="rId22" Type="http://schemas.openxmlformats.org/officeDocument/2006/relationships/hyperlink" Target="https://www.acquisition.gov/sites/default/files/current/far/html/Subpart%2013_2.html" TargetMode="External"/><Relationship Id="rId27" Type="http://schemas.openxmlformats.org/officeDocument/2006/relationships/hyperlink" Target="https://www.acquisition.gov/sites/default/files/current/far/html/Subpart%204_6.html" TargetMode="External"/><Relationship Id="rId30" Type="http://schemas.openxmlformats.org/officeDocument/2006/relationships/hyperlink" Target="https://forms.oig.hhs.gov/hotlineoperations/posters/OIG%20Hotline%20Ops%20Poster%20-%20Grant%20&amp;%20Contract%20Fraud.pdf" TargetMode="External"/><Relationship Id="rId35" Type="http://schemas.openxmlformats.org/officeDocument/2006/relationships/hyperlink" Target="mailto:NIHHotline@nih.gov" TargetMode="External"/><Relationship Id="rId43" Type="http://schemas.openxmlformats.org/officeDocument/2006/relationships/hyperlink" Target="http://oamp.od.nih.gov/dsaps/bpa-program" TargetMode="External"/><Relationship Id="rId48" Type="http://schemas.openxmlformats.org/officeDocument/2006/relationships/hyperlink" Target="mailto:Jesse.Lee2@nih.gov" TargetMode="External"/><Relationship Id="rId8" Type="http://schemas.openxmlformats.org/officeDocument/2006/relationships/hyperlink" Target="https://www.acquisition.gov/sites/default/files/current/far/html/Subpart%2022_10.html" TargetMode="External"/><Relationship Id="rId51" Type="http://schemas.openxmlformats.org/officeDocument/2006/relationships/hyperlink" Target="mailto:OALMnewsletter@mail.nih.gov"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3BBEA-3986-4DDC-BE1B-E690F2886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2593</Words>
  <Characters>14785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OALM May/June 2018 Newsletter</vt:lpstr>
    </vt:vector>
  </TitlesOfParts>
  <Company>NIH/OD</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OALM May/June 2018 Newsletter</dc:title>
  <dc:subject/>
  <dc:creator>NIH/OD/OALM/OAMP/DSAPS</dc:creator>
  <cp:keywords>OALM July August 2018 Newsetter</cp:keywords>
  <dc:description>OALM July/August 2018 Newsletter</dc:description>
  <cp:lastModifiedBy>Ambrose, Alan (NIH/OD) [C]</cp:lastModifiedBy>
  <cp:revision>6</cp:revision>
  <cp:lastPrinted>2018-05-16T18:14:00Z</cp:lastPrinted>
  <dcterms:created xsi:type="dcterms:W3CDTF">2018-07-30T16:50:00Z</dcterms:created>
  <dcterms:modified xsi:type="dcterms:W3CDTF">2018-07-30T17:22:00Z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